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98BC" w14:textId="29825459" w:rsidR="000D485B" w:rsidRPr="00464AFF" w:rsidRDefault="000D485B" w:rsidP="000D485B">
      <w:pPr>
        <w:pStyle w:val="Loendilik"/>
        <w:numPr>
          <w:ilvl w:val="0"/>
          <w:numId w:val="1"/>
        </w:numPr>
        <w:spacing w:after="0" w:line="265" w:lineRule="auto"/>
        <w:ind w:right="851"/>
        <w:jc w:val="both"/>
        <w:rPr>
          <w:rFonts w:ascii="Arial" w:eastAsia="Arial" w:hAnsi="Arial" w:cs="Arial"/>
          <w:sz w:val="32"/>
          <w:szCs w:val="32"/>
          <w:lang w:val="en-GB"/>
        </w:rPr>
      </w:pPr>
      <w:r w:rsidRPr="00464AFF">
        <w:rPr>
          <w:b/>
          <w:bCs/>
          <w:sz w:val="28"/>
          <w:lang w:val="en-GB"/>
        </w:rPr>
        <w:t>Target setting for recharging and refuelling infrastructure for light-duty vehicles (LDV) as well as for heavy-duty vehicles (HDV)</w:t>
      </w:r>
    </w:p>
    <w:p w14:paraId="71C83403" w14:textId="77777777" w:rsidR="000D485B" w:rsidRPr="00464AFF" w:rsidRDefault="000D485B" w:rsidP="000D485B">
      <w:pPr>
        <w:spacing w:after="0" w:line="265" w:lineRule="auto"/>
        <w:ind w:left="120" w:right="851" w:hanging="10"/>
        <w:jc w:val="both"/>
        <w:rPr>
          <w:rFonts w:ascii="Arial" w:eastAsia="Arial" w:hAnsi="Arial" w:cs="Arial"/>
          <w:sz w:val="24"/>
          <w:lang w:val="en-GB"/>
        </w:rPr>
      </w:pPr>
    </w:p>
    <w:p w14:paraId="151A1B6A" w14:textId="69FE6A9A" w:rsidR="00934FD1" w:rsidRPr="00464AFF" w:rsidRDefault="2B0D2E34" w:rsidP="564DFC2D">
      <w:pPr>
        <w:pStyle w:val="Loendilik"/>
        <w:numPr>
          <w:ilvl w:val="1"/>
          <w:numId w:val="1"/>
        </w:numPr>
        <w:spacing w:after="0" w:line="265" w:lineRule="auto"/>
        <w:ind w:right="851"/>
        <w:jc w:val="both"/>
        <w:rPr>
          <w:rFonts w:ascii="Arial" w:eastAsia="Arial" w:hAnsi="Arial" w:cs="Arial"/>
          <w:sz w:val="24"/>
          <w:lang w:val="en-GB"/>
        </w:rPr>
      </w:pPr>
      <w:r w:rsidRPr="564DFC2D">
        <w:rPr>
          <w:rFonts w:ascii="Arial" w:eastAsia="Arial" w:hAnsi="Arial" w:cs="Arial"/>
          <w:b/>
          <w:bCs/>
          <w:sz w:val="24"/>
          <w:lang w:val="en-GB"/>
        </w:rPr>
        <w:t>LDV charging</w:t>
      </w:r>
      <w:r w:rsidRPr="564DFC2D">
        <w:rPr>
          <w:rFonts w:ascii="Arial" w:eastAsia="Arial" w:hAnsi="Arial" w:cs="Arial"/>
          <w:sz w:val="24"/>
          <w:lang w:val="en-GB"/>
        </w:rPr>
        <w:t xml:space="preserve"> infrastructure </w:t>
      </w:r>
      <w:r w:rsidR="6D8BE8A7" w:rsidRPr="564DFC2D">
        <w:rPr>
          <w:rFonts w:ascii="Arial" w:eastAsia="Arial" w:hAnsi="Arial" w:cs="Arial"/>
          <w:sz w:val="24"/>
          <w:lang w:val="en-GB"/>
        </w:rPr>
        <w:t xml:space="preserve">in Estonia </w:t>
      </w:r>
      <w:r w:rsidRPr="564DFC2D">
        <w:rPr>
          <w:rFonts w:ascii="Arial" w:eastAsia="Arial" w:hAnsi="Arial" w:cs="Arial"/>
          <w:sz w:val="24"/>
          <w:lang w:val="en-GB"/>
        </w:rPr>
        <w:t xml:space="preserve">is </w:t>
      </w:r>
      <w:r w:rsidR="1C3610DA" w:rsidRPr="564DFC2D">
        <w:rPr>
          <w:rFonts w:ascii="Arial" w:eastAsia="Arial" w:hAnsi="Arial" w:cs="Arial"/>
          <w:sz w:val="24"/>
          <w:lang w:val="en-GB"/>
        </w:rPr>
        <w:t xml:space="preserve">at this stage </w:t>
      </w:r>
      <w:r w:rsidR="6D8BE8A7" w:rsidRPr="564DFC2D">
        <w:rPr>
          <w:rFonts w:ascii="Arial" w:eastAsia="Arial" w:hAnsi="Arial" w:cs="Arial"/>
          <w:sz w:val="24"/>
          <w:lang w:val="en-GB"/>
        </w:rPr>
        <w:t xml:space="preserve">already </w:t>
      </w:r>
      <w:r w:rsidRPr="564DFC2D">
        <w:rPr>
          <w:rFonts w:ascii="Arial" w:eastAsia="Arial" w:hAnsi="Arial" w:cs="Arial"/>
          <w:sz w:val="24"/>
          <w:lang w:val="en-GB"/>
        </w:rPr>
        <w:t xml:space="preserve">actively developed </w:t>
      </w:r>
      <w:r w:rsidR="6D8BE8A7" w:rsidRPr="564DFC2D">
        <w:rPr>
          <w:rFonts w:ascii="Arial" w:eastAsia="Arial" w:hAnsi="Arial" w:cs="Arial"/>
          <w:sz w:val="24"/>
          <w:lang w:val="en-GB"/>
        </w:rPr>
        <w:t xml:space="preserve">throughout the TEN-T network </w:t>
      </w:r>
      <w:r w:rsidRPr="564DFC2D">
        <w:rPr>
          <w:rFonts w:ascii="Arial" w:eastAsia="Arial" w:hAnsi="Arial" w:cs="Arial"/>
          <w:sz w:val="24"/>
          <w:lang w:val="en-GB"/>
        </w:rPr>
        <w:t xml:space="preserve">by the market </w:t>
      </w:r>
      <w:r w:rsidR="6D8BE8A7" w:rsidRPr="564DFC2D">
        <w:rPr>
          <w:rFonts w:ascii="Arial" w:eastAsia="Arial" w:hAnsi="Arial" w:cs="Arial"/>
          <w:sz w:val="24"/>
          <w:lang w:val="en-GB"/>
        </w:rPr>
        <w:t>in conjunction with EU funding (except in exceptional cases on the TEN-T network where traffic density</w:t>
      </w:r>
      <w:r w:rsidRPr="564DFC2D">
        <w:rPr>
          <w:rFonts w:ascii="Arial" w:eastAsia="Arial" w:hAnsi="Arial" w:cs="Arial"/>
          <w:sz w:val="24"/>
          <w:lang w:val="en-GB"/>
        </w:rPr>
        <w:t xml:space="preserve"> </w:t>
      </w:r>
      <w:r w:rsidR="1C3610DA" w:rsidRPr="564DFC2D">
        <w:rPr>
          <w:rFonts w:ascii="Arial" w:eastAsia="Arial" w:hAnsi="Arial" w:cs="Arial"/>
          <w:sz w:val="24"/>
          <w:lang w:val="en-GB"/>
        </w:rPr>
        <w:t xml:space="preserve">on certain sections </w:t>
      </w:r>
      <w:r w:rsidR="6D8BE8A7" w:rsidRPr="564DFC2D">
        <w:rPr>
          <w:rFonts w:ascii="Arial" w:eastAsia="Arial" w:hAnsi="Arial" w:cs="Arial"/>
          <w:sz w:val="24"/>
          <w:lang w:val="en-GB"/>
        </w:rPr>
        <w:t xml:space="preserve">is extremely low of under 1000 LDV-s </w:t>
      </w:r>
      <w:r w:rsidR="1C3610DA" w:rsidRPr="564DFC2D">
        <w:rPr>
          <w:rFonts w:ascii="Arial" w:eastAsia="Arial" w:hAnsi="Arial" w:cs="Arial"/>
          <w:sz w:val="24"/>
          <w:lang w:val="en-GB"/>
        </w:rPr>
        <w:t>per day</w:t>
      </w:r>
      <w:r w:rsidR="6D8BE8A7" w:rsidRPr="564DFC2D">
        <w:rPr>
          <w:rFonts w:ascii="Arial" w:eastAsia="Arial" w:hAnsi="Arial" w:cs="Arial"/>
          <w:sz w:val="24"/>
          <w:lang w:val="en-GB"/>
        </w:rPr>
        <w:t>). T</w:t>
      </w:r>
      <w:r w:rsidRPr="564DFC2D">
        <w:rPr>
          <w:rFonts w:ascii="Arial" w:eastAsia="Arial" w:hAnsi="Arial" w:cs="Arial"/>
          <w:sz w:val="24"/>
          <w:lang w:val="en-GB"/>
        </w:rPr>
        <w:t xml:space="preserve">herefore, further market interference </w:t>
      </w:r>
      <w:r w:rsidR="6D8BE8A7" w:rsidRPr="564DFC2D">
        <w:rPr>
          <w:rFonts w:ascii="Arial" w:eastAsia="Arial" w:hAnsi="Arial" w:cs="Arial"/>
          <w:sz w:val="24"/>
          <w:lang w:val="en-GB"/>
        </w:rPr>
        <w:t xml:space="preserve">is </w:t>
      </w:r>
      <w:r w:rsidRPr="564DFC2D">
        <w:rPr>
          <w:rFonts w:ascii="Arial" w:eastAsia="Arial" w:hAnsi="Arial" w:cs="Arial"/>
          <w:sz w:val="24"/>
          <w:lang w:val="en-GB"/>
        </w:rPr>
        <w:t>not necessary</w:t>
      </w:r>
      <w:r w:rsidR="6D8BE8A7" w:rsidRPr="564DFC2D">
        <w:rPr>
          <w:rFonts w:ascii="Arial" w:eastAsia="Arial" w:hAnsi="Arial" w:cs="Arial"/>
          <w:sz w:val="24"/>
          <w:lang w:val="en-GB"/>
        </w:rPr>
        <w:t xml:space="preserve"> at this point</w:t>
      </w:r>
      <w:r w:rsidRPr="564DFC2D">
        <w:rPr>
          <w:rFonts w:ascii="Arial" w:eastAsia="Arial" w:hAnsi="Arial" w:cs="Arial"/>
          <w:sz w:val="24"/>
          <w:lang w:val="en-GB"/>
        </w:rPr>
        <w:t xml:space="preserve">. </w:t>
      </w:r>
    </w:p>
    <w:p w14:paraId="5FAF941E" w14:textId="77777777" w:rsidR="00934FD1" w:rsidRPr="00464AFF" w:rsidRDefault="00934FD1" w:rsidP="00934FD1">
      <w:pPr>
        <w:pStyle w:val="Loendilik"/>
        <w:spacing w:after="0" w:line="265" w:lineRule="auto"/>
        <w:ind w:left="470" w:right="851"/>
        <w:jc w:val="both"/>
        <w:rPr>
          <w:rFonts w:ascii="Arial" w:eastAsia="Arial" w:hAnsi="Arial" w:cs="Arial"/>
          <w:sz w:val="24"/>
          <w:lang w:val="en-GB"/>
        </w:rPr>
      </w:pPr>
    </w:p>
    <w:p w14:paraId="7335A245" w14:textId="0E88D000" w:rsidR="000D485B" w:rsidRPr="00464AFF" w:rsidRDefault="1C3610DA" w:rsidP="564DFC2D">
      <w:pPr>
        <w:pStyle w:val="Loendilik"/>
        <w:spacing w:after="0" w:line="265" w:lineRule="auto"/>
        <w:ind w:left="470" w:right="851"/>
        <w:jc w:val="both"/>
        <w:rPr>
          <w:rFonts w:ascii="Arial" w:eastAsia="Arial" w:hAnsi="Arial" w:cs="Arial"/>
          <w:sz w:val="24"/>
        </w:rPr>
      </w:pPr>
      <w:r w:rsidRPr="564DFC2D">
        <w:rPr>
          <w:rFonts w:ascii="Arial" w:eastAsia="Arial" w:hAnsi="Arial" w:cs="Arial"/>
          <w:sz w:val="24"/>
        </w:rPr>
        <w:t>Additional</w:t>
      </w:r>
      <w:r w:rsidR="2B0D2E34" w:rsidRPr="564DFC2D">
        <w:rPr>
          <w:rFonts w:ascii="Arial" w:eastAsia="Arial" w:hAnsi="Arial" w:cs="Arial"/>
          <w:sz w:val="24"/>
        </w:rPr>
        <w:t xml:space="preserve"> flexibility in current targets </w:t>
      </w:r>
      <w:r w:rsidR="6D8BE8A7" w:rsidRPr="564DFC2D">
        <w:rPr>
          <w:rFonts w:ascii="Arial" w:eastAsia="Arial" w:hAnsi="Arial" w:cs="Arial"/>
          <w:sz w:val="24"/>
        </w:rPr>
        <w:t>could</w:t>
      </w:r>
      <w:r w:rsidR="2B0D2E34" w:rsidRPr="564DFC2D">
        <w:rPr>
          <w:rFonts w:ascii="Arial" w:eastAsia="Arial" w:hAnsi="Arial" w:cs="Arial"/>
          <w:sz w:val="24"/>
        </w:rPr>
        <w:t xml:space="preserve"> also </w:t>
      </w:r>
      <w:r w:rsidR="6D8BE8A7" w:rsidRPr="564DFC2D">
        <w:rPr>
          <w:rFonts w:ascii="Arial" w:eastAsia="Arial" w:hAnsi="Arial" w:cs="Arial"/>
          <w:sz w:val="24"/>
        </w:rPr>
        <w:t xml:space="preserve">help better </w:t>
      </w:r>
      <w:r w:rsidR="2B0D2E34" w:rsidRPr="564DFC2D">
        <w:rPr>
          <w:rFonts w:ascii="Arial" w:eastAsia="Arial" w:hAnsi="Arial" w:cs="Arial"/>
          <w:sz w:val="24"/>
        </w:rPr>
        <w:t>reflect different market developments</w:t>
      </w:r>
      <w:r w:rsidR="4A9D67AF" w:rsidRPr="564DFC2D">
        <w:rPr>
          <w:rFonts w:ascii="Arial" w:eastAsia="Arial" w:hAnsi="Arial" w:cs="Arial"/>
          <w:sz w:val="24"/>
        </w:rPr>
        <w:t xml:space="preserve">. In Estonia, </w:t>
      </w:r>
      <w:r w:rsidR="2B0D2E34" w:rsidRPr="564DFC2D">
        <w:rPr>
          <w:rFonts w:ascii="Arial" w:eastAsia="Arial" w:hAnsi="Arial" w:cs="Arial"/>
          <w:sz w:val="24"/>
        </w:rPr>
        <w:t xml:space="preserve">developers competing in the same area has created </w:t>
      </w:r>
      <w:r w:rsidR="5D5A3705" w:rsidRPr="564DFC2D">
        <w:rPr>
          <w:rFonts w:ascii="Arial" w:eastAsia="Arial" w:hAnsi="Arial" w:cs="Arial"/>
          <w:sz w:val="24"/>
        </w:rPr>
        <w:t>multiple</w:t>
      </w:r>
      <w:r w:rsidR="2B0D2E34" w:rsidRPr="564DFC2D">
        <w:rPr>
          <w:rFonts w:ascii="Arial" w:eastAsia="Arial" w:hAnsi="Arial" w:cs="Arial"/>
          <w:sz w:val="24"/>
        </w:rPr>
        <w:t xml:space="preserve"> situations where the charging pools within a close</w:t>
      </w:r>
      <w:r w:rsidR="4A9D67AF" w:rsidRPr="564DFC2D">
        <w:rPr>
          <w:rFonts w:ascii="Arial" w:eastAsia="Arial" w:hAnsi="Arial" w:cs="Arial"/>
          <w:sz w:val="24"/>
        </w:rPr>
        <w:t>-</w:t>
      </w:r>
      <w:r w:rsidR="2B0D2E34" w:rsidRPr="564DFC2D">
        <w:rPr>
          <w:rFonts w:ascii="Arial" w:eastAsia="Arial" w:hAnsi="Arial" w:cs="Arial"/>
          <w:sz w:val="24"/>
        </w:rPr>
        <w:t xml:space="preserve">by area </w:t>
      </w:r>
      <w:r w:rsidR="4A9D67AF" w:rsidRPr="564DFC2D">
        <w:rPr>
          <w:rFonts w:ascii="Arial" w:eastAsia="Arial" w:hAnsi="Arial" w:cs="Arial"/>
          <w:sz w:val="24"/>
        </w:rPr>
        <w:t xml:space="preserve">(within a 1-2 km radius) give in total more than the required power output as set out in the AFIR targets, but do not achieve the required </w:t>
      </w:r>
      <w:r w:rsidR="6D8BE8A7" w:rsidRPr="564DFC2D">
        <w:rPr>
          <w:rFonts w:ascii="Arial" w:eastAsia="Arial" w:hAnsi="Arial" w:cs="Arial"/>
          <w:sz w:val="24"/>
        </w:rPr>
        <w:t xml:space="preserve">power output </w:t>
      </w:r>
      <w:r w:rsidR="4A9D67AF" w:rsidRPr="564DFC2D">
        <w:rPr>
          <w:rFonts w:ascii="Arial" w:eastAsia="Arial" w:hAnsi="Arial" w:cs="Arial"/>
          <w:sz w:val="24"/>
        </w:rPr>
        <w:t xml:space="preserve">target </w:t>
      </w:r>
      <w:r w:rsidR="6D8BE8A7" w:rsidRPr="564DFC2D">
        <w:rPr>
          <w:rFonts w:ascii="Arial" w:eastAsia="Arial" w:hAnsi="Arial" w:cs="Arial"/>
          <w:sz w:val="24"/>
        </w:rPr>
        <w:t xml:space="preserve">set for a charging pool </w:t>
      </w:r>
      <w:r w:rsidR="4A9D67AF" w:rsidRPr="564DFC2D">
        <w:rPr>
          <w:rFonts w:ascii="Arial" w:eastAsia="Arial" w:hAnsi="Arial" w:cs="Arial"/>
          <w:sz w:val="24"/>
        </w:rPr>
        <w:t>by themselves</w:t>
      </w:r>
      <w:r w:rsidR="6D8BE8A7" w:rsidRPr="564DFC2D">
        <w:rPr>
          <w:rFonts w:ascii="Arial" w:eastAsia="Arial" w:hAnsi="Arial" w:cs="Arial"/>
          <w:sz w:val="24"/>
        </w:rPr>
        <w:t xml:space="preserve"> (e.g. multiple 200-300 kW charging pools close</w:t>
      </w:r>
      <w:r w:rsidRPr="564DFC2D">
        <w:rPr>
          <w:rFonts w:ascii="Arial" w:eastAsia="Arial" w:hAnsi="Arial" w:cs="Arial"/>
          <w:sz w:val="24"/>
        </w:rPr>
        <w:t>-</w:t>
      </w:r>
      <w:r w:rsidR="6D8BE8A7" w:rsidRPr="564DFC2D">
        <w:rPr>
          <w:rFonts w:ascii="Arial" w:eastAsia="Arial" w:hAnsi="Arial" w:cs="Arial"/>
          <w:sz w:val="24"/>
        </w:rPr>
        <w:t xml:space="preserve">by near a TEN-T core network road that don’t </w:t>
      </w:r>
      <w:r w:rsidRPr="564DFC2D">
        <w:rPr>
          <w:rFonts w:ascii="Arial" w:eastAsia="Arial" w:hAnsi="Arial" w:cs="Arial"/>
          <w:sz w:val="24"/>
        </w:rPr>
        <w:t xml:space="preserve">individually </w:t>
      </w:r>
      <w:r w:rsidR="6D8BE8A7" w:rsidRPr="564DFC2D">
        <w:rPr>
          <w:rFonts w:ascii="Arial" w:eastAsia="Arial" w:hAnsi="Arial" w:cs="Arial"/>
          <w:sz w:val="24"/>
        </w:rPr>
        <w:t>reach the required 400 kW pool requirement)</w:t>
      </w:r>
      <w:r w:rsidR="4A9D67AF" w:rsidRPr="564DFC2D">
        <w:rPr>
          <w:rFonts w:ascii="Arial" w:eastAsia="Arial" w:hAnsi="Arial" w:cs="Arial"/>
          <w:sz w:val="24"/>
        </w:rPr>
        <w:t xml:space="preserve">. Forced concentration of these </w:t>
      </w:r>
      <w:r w:rsidR="5D5A3705" w:rsidRPr="564DFC2D">
        <w:rPr>
          <w:rFonts w:ascii="Arial" w:eastAsia="Arial" w:hAnsi="Arial" w:cs="Arial"/>
          <w:sz w:val="24"/>
        </w:rPr>
        <w:t>charging pools</w:t>
      </w:r>
      <w:r w:rsidR="4A9D67AF" w:rsidRPr="564DFC2D">
        <w:rPr>
          <w:rFonts w:ascii="Arial" w:eastAsia="Arial" w:hAnsi="Arial" w:cs="Arial"/>
          <w:sz w:val="24"/>
        </w:rPr>
        <w:t xml:space="preserve"> developed by private investors is not an available option and is not prudent considering that they are able to serv</w:t>
      </w:r>
      <w:r w:rsidR="6D8BE8A7" w:rsidRPr="564DFC2D">
        <w:rPr>
          <w:rFonts w:ascii="Arial" w:eastAsia="Arial" w:hAnsi="Arial" w:cs="Arial"/>
          <w:sz w:val="24"/>
        </w:rPr>
        <w:t>ice</w:t>
      </w:r>
      <w:r w:rsidR="4A9D67AF" w:rsidRPr="564DFC2D">
        <w:rPr>
          <w:rFonts w:ascii="Arial" w:eastAsia="Arial" w:hAnsi="Arial" w:cs="Arial"/>
          <w:sz w:val="24"/>
        </w:rPr>
        <w:t xml:space="preserve"> the market in their current capacity</w:t>
      </w:r>
      <w:r w:rsidRPr="564DFC2D">
        <w:rPr>
          <w:rFonts w:ascii="Arial" w:eastAsia="Arial" w:hAnsi="Arial" w:cs="Arial"/>
          <w:sz w:val="24"/>
        </w:rPr>
        <w:t xml:space="preserve"> anyway</w:t>
      </w:r>
      <w:r w:rsidR="4A9D67AF" w:rsidRPr="564DFC2D">
        <w:rPr>
          <w:rFonts w:ascii="Arial" w:eastAsia="Arial" w:hAnsi="Arial" w:cs="Arial"/>
          <w:sz w:val="24"/>
        </w:rPr>
        <w:t>.</w:t>
      </w:r>
      <w:r w:rsidR="5D5A3705" w:rsidRPr="564DFC2D">
        <w:rPr>
          <w:rFonts w:ascii="Arial" w:eastAsia="Arial" w:hAnsi="Arial" w:cs="Arial"/>
          <w:sz w:val="24"/>
        </w:rPr>
        <w:t xml:space="preserve"> </w:t>
      </w:r>
      <w:r w:rsidR="4A797B76" w:rsidRPr="564DFC2D">
        <w:rPr>
          <w:rFonts w:ascii="Arial" w:eastAsia="Arial" w:hAnsi="Arial" w:cs="Arial"/>
          <w:sz w:val="24"/>
        </w:rPr>
        <w:t xml:space="preserve">Further derogations should also be considered for very low traffic density sections (e.g. sections with under </w:t>
      </w:r>
      <w:r w:rsidR="5D299E1F" w:rsidRPr="564DFC2D">
        <w:rPr>
          <w:rFonts w:ascii="Arial" w:eastAsia="Arial" w:hAnsi="Arial" w:cs="Arial"/>
          <w:sz w:val="24"/>
        </w:rPr>
        <w:t>1</w:t>
      </w:r>
      <w:r w:rsidR="4A797B76" w:rsidRPr="564DFC2D">
        <w:rPr>
          <w:rFonts w:ascii="Arial" w:eastAsia="Arial" w:hAnsi="Arial" w:cs="Arial"/>
          <w:sz w:val="24"/>
        </w:rPr>
        <w:t>000 LDV-s per day) of the TEN-T network as</w:t>
      </w:r>
      <w:r w:rsidR="18386637" w:rsidRPr="564DFC2D">
        <w:rPr>
          <w:rFonts w:ascii="Arial" w:eastAsia="Arial" w:hAnsi="Arial" w:cs="Arial"/>
          <w:sz w:val="24"/>
        </w:rPr>
        <w:t xml:space="preserve"> development of infrastructure according to AFIR requirements in these sections will not be prudent.</w:t>
      </w:r>
    </w:p>
    <w:p w14:paraId="62317309" w14:textId="77777777" w:rsidR="000D485B" w:rsidRPr="00464AFF" w:rsidRDefault="000D485B" w:rsidP="000D485B">
      <w:pPr>
        <w:spacing w:after="0" w:line="265" w:lineRule="auto"/>
        <w:ind w:right="851"/>
        <w:jc w:val="both"/>
        <w:rPr>
          <w:rFonts w:ascii="Arial" w:eastAsia="Arial" w:hAnsi="Arial" w:cs="Arial"/>
          <w:sz w:val="24"/>
          <w:lang w:val="en-GB"/>
        </w:rPr>
      </w:pPr>
    </w:p>
    <w:p w14:paraId="313E8FEB" w14:textId="13CF74C7" w:rsidR="009E3BFA" w:rsidRPr="00464AFF" w:rsidRDefault="000D485B" w:rsidP="009E3BFA">
      <w:pPr>
        <w:pStyle w:val="Loendilik"/>
        <w:numPr>
          <w:ilvl w:val="1"/>
          <w:numId w:val="1"/>
        </w:numPr>
        <w:spacing w:after="0" w:line="265" w:lineRule="auto"/>
        <w:ind w:right="851"/>
        <w:jc w:val="both"/>
        <w:rPr>
          <w:rFonts w:ascii="Arial" w:eastAsia="Arial" w:hAnsi="Arial" w:cs="Arial"/>
          <w:sz w:val="24"/>
          <w:lang w:val="en-GB"/>
        </w:rPr>
      </w:pPr>
      <w:r w:rsidRPr="00464AFF">
        <w:rPr>
          <w:rFonts w:ascii="Arial" w:eastAsia="Arial" w:hAnsi="Arial" w:cs="Arial"/>
          <w:b/>
          <w:bCs/>
          <w:sz w:val="24"/>
          <w:lang w:val="en-GB"/>
        </w:rPr>
        <w:t>HDV charging</w:t>
      </w:r>
      <w:r w:rsidRPr="00464AFF">
        <w:rPr>
          <w:rFonts w:ascii="Arial" w:eastAsia="Arial" w:hAnsi="Arial" w:cs="Arial"/>
          <w:sz w:val="24"/>
          <w:lang w:val="en-GB"/>
        </w:rPr>
        <w:t xml:space="preserve"> targets are too high for more peripheral areas of the EU, like Estonia.  </w:t>
      </w:r>
    </w:p>
    <w:p w14:paraId="28973F3B" w14:textId="77777777" w:rsidR="009E3BFA" w:rsidRPr="00464AFF" w:rsidRDefault="009E3BFA" w:rsidP="009E3BFA">
      <w:pPr>
        <w:pStyle w:val="Loendilik"/>
        <w:spacing w:after="0" w:line="265" w:lineRule="auto"/>
        <w:ind w:left="470" w:right="851"/>
        <w:jc w:val="both"/>
        <w:rPr>
          <w:rFonts w:ascii="Arial" w:eastAsia="Arial" w:hAnsi="Arial" w:cs="Arial"/>
          <w:b/>
          <w:bCs/>
          <w:sz w:val="24"/>
          <w:lang w:val="en-GB"/>
        </w:rPr>
      </w:pPr>
    </w:p>
    <w:p w14:paraId="71FB69B6" w14:textId="30BE36C8" w:rsidR="009E3BFA" w:rsidRPr="00464AFF" w:rsidRDefault="3CE514FE" w:rsidP="564DFC2D">
      <w:pPr>
        <w:pStyle w:val="Loendilik"/>
        <w:spacing w:after="0" w:line="265" w:lineRule="auto"/>
        <w:ind w:left="470" w:right="851"/>
        <w:jc w:val="both"/>
        <w:rPr>
          <w:rFonts w:ascii="Arial" w:eastAsia="Arial" w:hAnsi="Arial" w:cs="Arial"/>
          <w:sz w:val="24"/>
          <w:lang w:val="en-GB"/>
        </w:rPr>
      </w:pPr>
      <w:r w:rsidRPr="564DFC2D">
        <w:rPr>
          <w:rFonts w:ascii="Arial" w:eastAsia="Arial" w:hAnsi="Arial" w:cs="Arial"/>
          <w:sz w:val="24"/>
          <w:lang w:val="en-GB"/>
        </w:rPr>
        <w:t xml:space="preserve">Estonia’s distribution network is partially outdated – a significant part of the infrastructure exceeds the design lifetime and has limited capacity. At the same time, distributed production and the associated amount of storage equipment are growing rapidly. In addition, electrification is taking place </w:t>
      </w:r>
      <w:r w:rsidR="6E1AFBE2" w:rsidRPr="564DFC2D">
        <w:rPr>
          <w:rFonts w:ascii="Arial" w:eastAsia="Arial" w:hAnsi="Arial" w:cs="Arial"/>
          <w:sz w:val="24"/>
          <w:lang w:val="en-GB"/>
        </w:rPr>
        <w:t xml:space="preserve">across the field </w:t>
      </w:r>
      <w:r w:rsidRPr="564DFC2D">
        <w:rPr>
          <w:rFonts w:ascii="Arial" w:eastAsia="Arial" w:hAnsi="Arial" w:cs="Arial"/>
          <w:sz w:val="24"/>
          <w:lang w:val="en-GB"/>
        </w:rPr>
        <w:t xml:space="preserve">and the demand for high-power charging solutions is increasing. It is important to ensure sufficient flexibility so that the implementation of the objectives is in line with the development capacity of the network and local circumstances. This implies the need to keep in mind that network development is a long and technically complex process; forward-looking investments require a clear risk-sharing and financing logic; and solutions that increase system costs or undermine security of supply must be avoided. </w:t>
      </w:r>
    </w:p>
    <w:p w14:paraId="6328F00E" w14:textId="77777777" w:rsidR="009E3BFA" w:rsidRPr="00464AFF" w:rsidRDefault="009E3BFA" w:rsidP="009E3BFA">
      <w:pPr>
        <w:pStyle w:val="Loendilik"/>
        <w:spacing w:after="0" w:line="265" w:lineRule="auto"/>
        <w:ind w:left="470" w:right="851"/>
        <w:jc w:val="both"/>
        <w:rPr>
          <w:rFonts w:ascii="Arial" w:eastAsia="Arial" w:hAnsi="Arial" w:cs="Arial"/>
          <w:sz w:val="24"/>
          <w:lang w:val="en-GB"/>
        </w:rPr>
      </w:pPr>
    </w:p>
    <w:p w14:paraId="6D6F42EF" w14:textId="55B06C05" w:rsidR="009E3BFA" w:rsidRPr="00464AFF" w:rsidRDefault="009E3BFA" w:rsidP="009E3BFA">
      <w:pPr>
        <w:pStyle w:val="Loendilik"/>
        <w:spacing w:after="0" w:line="265" w:lineRule="auto"/>
        <w:ind w:left="470" w:right="851"/>
        <w:jc w:val="both"/>
        <w:rPr>
          <w:rFonts w:ascii="Arial" w:eastAsia="Arial" w:hAnsi="Arial" w:cs="Arial"/>
          <w:sz w:val="24"/>
          <w:lang w:val="en-GB"/>
        </w:rPr>
      </w:pPr>
      <w:r w:rsidRPr="00464AFF">
        <w:rPr>
          <w:rFonts w:ascii="Arial" w:eastAsia="Arial" w:hAnsi="Arial" w:cs="Arial"/>
          <w:sz w:val="24"/>
          <w:lang w:val="en-GB"/>
        </w:rPr>
        <w:t xml:space="preserve">The installation of recharging infrastructure for heavy-duty vehicles requires significantly higher than usual connection capacities compared to charging infrastructure for electric cars. Network connections are already </w:t>
      </w:r>
      <w:r w:rsidRPr="00464AFF">
        <w:rPr>
          <w:rFonts w:ascii="Arial" w:eastAsia="Arial" w:hAnsi="Arial" w:cs="Arial"/>
          <w:sz w:val="24"/>
          <w:lang w:val="en-GB"/>
        </w:rPr>
        <w:lastRenderedPageBreak/>
        <w:t xml:space="preserve">one of the main bottlenecks in the development of charging infrastructure. The development of the network is very capital intensive, requires long-term planning, involves complex and sometimes time-consuming permit-granting procedures and construction processes. It is also necessary to </w:t>
      </w:r>
      <w:proofErr w:type="gramStart"/>
      <w:r w:rsidRPr="00464AFF">
        <w:rPr>
          <w:rFonts w:ascii="Arial" w:eastAsia="Arial" w:hAnsi="Arial" w:cs="Arial"/>
          <w:sz w:val="24"/>
          <w:lang w:val="en-GB"/>
        </w:rPr>
        <w:t>take into account</w:t>
      </w:r>
      <w:proofErr w:type="gramEnd"/>
      <w:r w:rsidRPr="00464AFF">
        <w:rPr>
          <w:rFonts w:ascii="Arial" w:eastAsia="Arial" w:hAnsi="Arial" w:cs="Arial"/>
          <w:sz w:val="24"/>
          <w:lang w:val="en-GB"/>
        </w:rPr>
        <w:t xml:space="preserve"> the delivery times of materials, which can be very long. For example, the delivery times of power transformers today are almost two and a half years. </w:t>
      </w:r>
    </w:p>
    <w:p w14:paraId="2A799DBE" w14:textId="77777777" w:rsidR="00785C8F" w:rsidRPr="00464AFF" w:rsidRDefault="00785C8F" w:rsidP="564DFC2D">
      <w:pPr>
        <w:pStyle w:val="Loendilik"/>
        <w:spacing w:after="0" w:line="265" w:lineRule="auto"/>
        <w:ind w:left="470" w:right="851"/>
        <w:jc w:val="both"/>
        <w:rPr>
          <w:rFonts w:ascii="Arial" w:eastAsia="Arial" w:hAnsi="Arial" w:cs="Arial"/>
          <w:sz w:val="24"/>
          <w:lang w:val="en-GB"/>
        </w:rPr>
      </w:pPr>
    </w:p>
    <w:p w14:paraId="2AC1DF16" w14:textId="3486DF50" w:rsidR="512BE0C6" w:rsidRDefault="512BE0C6" w:rsidP="564DFC2D">
      <w:pPr>
        <w:pStyle w:val="Loendilik"/>
        <w:spacing w:after="0" w:line="265" w:lineRule="auto"/>
        <w:ind w:left="470" w:right="851"/>
        <w:jc w:val="both"/>
        <w:rPr>
          <w:rFonts w:ascii="Arial" w:eastAsia="Arial" w:hAnsi="Arial" w:cs="Arial"/>
          <w:sz w:val="24"/>
        </w:rPr>
      </w:pPr>
      <w:r w:rsidRPr="564DFC2D">
        <w:rPr>
          <w:rFonts w:ascii="Arial" w:eastAsia="Arial" w:hAnsi="Arial" w:cs="Arial"/>
          <w:sz w:val="24"/>
        </w:rPr>
        <w:t xml:space="preserve">On the other </w:t>
      </w:r>
      <w:r w:rsidR="7C907F05" w:rsidRPr="564DFC2D">
        <w:rPr>
          <w:rFonts w:ascii="Arial" w:eastAsia="Arial" w:hAnsi="Arial" w:cs="Arial"/>
          <w:sz w:val="24"/>
        </w:rPr>
        <w:t>hand</w:t>
      </w:r>
      <w:r w:rsidRPr="564DFC2D">
        <w:rPr>
          <w:rFonts w:ascii="Arial" w:eastAsia="Arial" w:hAnsi="Arial" w:cs="Arial"/>
          <w:sz w:val="24"/>
        </w:rPr>
        <w:t xml:space="preserve">, the transport sector of Estonia </w:t>
      </w:r>
      <w:r w:rsidR="4FEEAA47" w:rsidRPr="564DFC2D">
        <w:rPr>
          <w:rFonts w:ascii="Arial" w:eastAsia="Arial" w:hAnsi="Arial" w:cs="Arial"/>
          <w:sz w:val="24"/>
        </w:rPr>
        <w:t xml:space="preserve">has been deeply impacted by the COVID-19 pandemic and the russian invasion of Ukraine which led to decreased volumes of cargo. </w:t>
      </w:r>
      <w:r w:rsidR="438C53C5" w:rsidRPr="564DFC2D">
        <w:rPr>
          <w:rFonts w:ascii="Arial" w:eastAsia="Arial" w:hAnsi="Arial" w:cs="Arial"/>
          <w:sz w:val="24"/>
        </w:rPr>
        <w:t xml:space="preserve">International </w:t>
      </w:r>
      <w:r w:rsidR="1CC199F2" w:rsidRPr="564DFC2D">
        <w:rPr>
          <w:rFonts w:ascii="Arial" w:eastAsia="Arial" w:hAnsi="Arial" w:cs="Arial"/>
          <w:sz w:val="24"/>
        </w:rPr>
        <w:t xml:space="preserve">cargo </w:t>
      </w:r>
      <w:r w:rsidR="438C53C5" w:rsidRPr="564DFC2D">
        <w:rPr>
          <w:rFonts w:ascii="Arial" w:eastAsia="Arial" w:hAnsi="Arial" w:cs="Arial"/>
          <w:sz w:val="24"/>
        </w:rPr>
        <w:t>on Estonian roads has decreased from around 5-6 million tons</w:t>
      </w:r>
      <w:r w:rsidR="67380B1B" w:rsidRPr="564DFC2D">
        <w:rPr>
          <w:rFonts w:ascii="Arial" w:eastAsia="Arial" w:hAnsi="Arial" w:cs="Arial"/>
          <w:sz w:val="24"/>
        </w:rPr>
        <w:t xml:space="preserve"> per year in 2010s to 3,6 in 2025. </w:t>
      </w:r>
      <w:r w:rsidR="4FEEAA47" w:rsidRPr="564DFC2D">
        <w:rPr>
          <w:rFonts w:ascii="Arial" w:eastAsia="Arial" w:hAnsi="Arial" w:cs="Arial"/>
          <w:sz w:val="24"/>
        </w:rPr>
        <w:t>This has undermined competitiveness of the sector and contributed to a decline in business which has furthermore impaired the ability to invest</w:t>
      </w:r>
      <w:r w:rsidR="6DB8E23D" w:rsidRPr="564DFC2D">
        <w:rPr>
          <w:rFonts w:ascii="Arial" w:eastAsia="Arial" w:hAnsi="Arial" w:cs="Arial"/>
          <w:sz w:val="24"/>
        </w:rPr>
        <w:t xml:space="preserve">, </w:t>
      </w:r>
      <w:r w:rsidR="4FEEAA47" w:rsidRPr="564DFC2D">
        <w:rPr>
          <w:rFonts w:ascii="Arial" w:eastAsia="Arial" w:hAnsi="Arial" w:cs="Arial"/>
          <w:sz w:val="24"/>
        </w:rPr>
        <w:t xml:space="preserve">including in greening their fleets. At the same time, </w:t>
      </w:r>
      <w:r w:rsidR="31073C32" w:rsidRPr="564DFC2D">
        <w:rPr>
          <w:rFonts w:ascii="Arial" w:eastAsia="Arial" w:hAnsi="Arial" w:cs="Arial"/>
          <w:sz w:val="24"/>
        </w:rPr>
        <w:t xml:space="preserve">Estonia’s </w:t>
      </w:r>
      <w:r w:rsidR="4FEEAA47" w:rsidRPr="564DFC2D">
        <w:rPr>
          <w:rFonts w:ascii="Arial" w:eastAsia="Arial" w:hAnsi="Arial" w:cs="Arial"/>
          <w:sz w:val="24"/>
        </w:rPr>
        <w:t xml:space="preserve">budgetary priorities </w:t>
      </w:r>
      <w:r w:rsidR="77C65955" w:rsidRPr="564DFC2D">
        <w:rPr>
          <w:rFonts w:ascii="Arial" w:eastAsia="Arial" w:hAnsi="Arial" w:cs="Arial"/>
          <w:sz w:val="24"/>
        </w:rPr>
        <w:t xml:space="preserve">have been refocused </w:t>
      </w:r>
      <w:r w:rsidR="4FEEAA47" w:rsidRPr="564DFC2D">
        <w:rPr>
          <w:rFonts w:ascii="Arial" w:eastAsia="Arial" w:hAnsi="Arial" w:cs="Arial"/>
          <w:sz w:val="24"/>
        </w:rPr>
        <w:t>towards defence</w:t>
      </w:r>
      <w:r w:rsidR="06CBEA58" w:rsidRPr="564DFC2D">
        <w:rPr>
          <w:rFonts w:ascii="Arial" w:eastAsia="Arial" w:hAnsi="Arial" w:cs="Arial"/>
          <w:sz w:val="24"/>
        </w:rPr>
        <w:t xml:space="preserve"> </w:t>
      </w:r>
      <w:r w:rsidR="66E63E7B" w:rsidRPr="564DFC2D">
        <w:rPr>
          <w:rFonts w:ascii="Arial" w:eastAsia="Arial" w:hAnsi="Arial" w:cs="Arial"/>
          <w:sz w:val="24"/>
        </w:rPr>
        <w:t xml:space="preserve">with at least 5% of GDP in 2026 going to defence </w:t>
      </w:r>
      <w:r w:rsidR="06CBEA58" w:rsidRPr="564DFC2D">
        <w:rPr>
          <w:rFonts w:ascii="Arial" w:eastAsia="Arial" w:hAnsi="Arial" w:cs="Arial"/>
          <w:sz w:val="24"/>
        </w:rPr>
        <w:t>which means</w:t>
      </w:r>
      <w:r w:rsidR="4FEEAA47" w:rsidRPr="564DFC2D">
        <w:rPr>
          <w:rFonts w:ascii="Arial" w:eastAsia="Arial" w:hAnsi="Arial" w:cs="Arial"/>
          <w:sz w:val="24"/>
        </w:rPr>
        <w:t xml:space="preserve"> supporting the uptake of HDVs from </w:t>
      </w:r>
      <w:r w:rsidR="2B6152F5" w:rsidRPr="564DFC2D">
        <w:rPr>
          <w:rFonts w:ascii="Arial" w:eastAsia="Arial" w:hAnsi="Arial" w:cs="Arial"/>
          <w:sz w:val="24"/>
        </w:rPr>
        <w:t xml:space="preserve">the </w:t>
      </w:r>
      <w:r w:rsidR="4FEEAA47" w:rsidRPr="564DFC2D">
        <w:rPr>
          <w:rFonts w:ascii="Arial" w:eastAsia="Arial" w:hAnsi="Arial" w:cs="Arial"/>
          <w:sz w:val="24"/>
        </w:rPr>
        <w:t>national budget is therefore not a viable option in the current geopolitical conditions.</w:t>
      </w:r>
    </w:p>
    <w:p w14:paraId="71FD90CF" w14:textId="28F51173" w:rsidR="564DFC2D" w:rsidRDefault="564DFC2D" w:rsidP="564DFC2D">
      <w:pPr>
        <w:pStyle w:val="Loendilik"/>
        <w:spacing w:after="0" w:line="265" w:lineRule="auto"/>
        <w:ind w:left="470" w:right="851"/>
        <w:jc w:val="both"/>
        <w:rPr>
          <w:rFonts w:ascii="Arial" w:eastAsia="Arial" w:hAnsi="Arial" w:cs="Arial"/>
          <w:sz w:val="24"/>
          <w:lang w:val="en-GB"/>
        </w:rPr>
      </w:pPr>
    </w:p>
    <w:p w14:paraId="190E83A8" w14:textId="4E32BDFD" w:rsidR="009E3BFA" w:rsidRPr="00464AFF" w:rsidRDefault="1DB747D2" w:rsidP="564DFC2D">
      <w:pPr>
        <w:pStyle w:val="Loendilik"/>
        <w:spacing w:after="0" w:line="265" w:lineRule="auto"/>
        <w:ind w:left="470" w:right="851"/>
        <w:jc w:val="both"/>
        <w:rPr>
          <w:rFonts w:ascii="Arial" w:eastAsia="Arial" w:hAnsi="Arial" w:cs="Arial"/>
          <w:sz w:val="24"/>
          <w:lang w:val="en-GB"/>
        </w:rPr>
      </w:pPr>
      <w:proofErr w:type="gramStart"/>
      <w:r w:rsidRPr="564DFC2D">
        <w:rPr>
          <w:rFonts w:ascii="Arial" w:eastAsia="Arial" w:hAnsi="Arial" w:cs="Arial"/>
          <w:sz w:val="24"/>
          <w:lang w:val="en-GB"/>
        </w:rPr>
        <w:t xml:space="preserve">With this in mind, </w:t>
      </w:r>
      <w:r w:rsidR="73B1A6B5" w:rsidRPr="564DFC2D">
        <w:rPr>
          <w:rFonts w:ascii="Arial" w:eastAsia="Arial" w:hAnsi="Arial" w:cs="Arial"/>
          <w:sz w:val="24"/>
          <w:lang w:val="en-GB"/>
        </w:rPr>
        <w:t>HDV</w:t>
      </w:r>
      <w:proofErr w:type="gramEnd"/>
      <w:r w:rsidR="73B1A6B5" w:rsidRPr="564DFC2D">
        <w:rPr>
          <w:rFonts w:ascii="Arial" w:eastAsia="Arial" w:hAnsi="Arial" w:cs="Arial"/>
          <w:sz w:val="24"/>
          <w:lang w:val="en-GB"/>
        </w:rPr>
        <w:t xml:space="preserve"> charging infrastructure targets should be postponed by 5 years across the field or reduced. Targets need to take into consideration the actual potential needs vis-a-vis HDV traffic tensity, and the fact that most of the charging of HDVs is done depot-based, especially in Estonia, where the local logistical routes are rather short (ca 200 km per direction). </w:t>
      </w:r>
      <w:r w:rsidR="492EEC76" w:rsidRPr="564DFC2D">
        <w:rPr>
          <w:rFonts w:ascii="Arial" w:eastAsia="Arial" w:hAnsi="Arial" w:cs="Arial"/>
          <w:sz w:val="24"/>
          <w:lang w:val="en-GB"/>
        </w:rPr>
        <w:t xml:space="preserve">Too early investments into creating </w:t>
      </w:r>
      <w:r w:rsidR="66F38D87" w:rsidRPr="564DFC2D">
        <w:rPr>
          <w:rFonts w:ascii="Arial" w:eastAsia="Arial" w:hAnsi="Arial" w:cs="Arial"/>
          <w:sz w:val="24"/>
          <w:lang w:val="en-GB"/>
        </w:rPr>
        <w:t xml:space="preserve">charging </w:t>
      </w:r>
      <w:r w:rsidR="492EEC76" w:rsidRPr="564DFC2D">
        <w:rPr>
          <w:rFonts w:ascii="Arial" w:eastAsia="Arial" w:hAnsi="Arial" w:cs="Arial"/>
          <w:sz w:val="24"/>
          <w:lang w:val="en-GB"/>
        </w:rPr>
        <w:t>infrastructure that might remain significantly under</w:t>
      </w:r>
      <w:r w:rsidR="46B5A2C6" w:rsidRPr="564DFC2D">
        <w:rPr>
          <w:rFonts w:ascii="Arial" w:eastAsia="Arial" w:hAnsi="Arial" w:cs="Arial"/>
          <w:sz w:val="24"/>
          <w:lang w:val="en-GB"/>
        </w:rPr>
        <w:t xml:space="preserve">utilised </w:t>
      </w:r>
      <w:r w:rsidR="492EEC76" w:rsidRPr="564DFC2D">
        <w:rPr>
          <w:rFonts w:ascii="Arial" w:eastAsia="Arial" w:hAnsi="Arial" w:cs="Arial"/>
          <w:sz w:val="24"/>
          <w:lang w:val="en-GB"/>
        </w:rPr>
        <w:t xml:space="preserve">for considerable time </w:t>
      </w:r>
      <w:r w:rsidR="444717BF" w:rsidRPr="564DFC2D">
        <w:rPr>
          <w:rFonts w:ascii="Arial" w:eastAsia="Arial" w:hAnsi="Arial" w:cs="Arial"/>
          <w:sz w:val="24"/>
          <w:lang w:val="en-GB"/>
        </w:rPr>
        <w:t xml:space="preserve">would be mismanagement of </w:t>
      </w:r>
      <w:r w:rsidR="4413B1FC" w:rsidRPr="564DFC2D">
        <w:rPr>
          <w:rFonts w:ascii="Arial" w:eastAsia="Arial" w:hAnsi="Arial" w:cs="Arial"/>
          <w:sz w:val="24"/>
          <w:lang w:val="en-GB"/>
        </w:rPr>
        <w:t xml:space="preserve">already sparce </w:t>
      </w:r>
      <w:r w:rsidR="444717BF" w:rsidRPr="564DFC2D">
        <w:rPr>
          <w:rFonts w:ascii="Arial" w:eastAsia="Arial" w:hAnsi="Arial" w:cs="Arial"/>
          <w:sz w:val="24"/>
          <w:lang w:val="en-GB"/>
        </w:rPr>
        <w:t>network resources.</w:t>
      </w:r>
    </w:p>
    <w:p w14:paraId="326825F7" w14:textId="77777777" w:rsidR="000D485B" w:rsidRPr="00464AFF" w:rsidRDefault="000D485B" w:rsidP="000D485B">
      <w:pPr>
        <w:spacing w:after="0" w:line="265" w:lineRule="auto"/>
        <w:ind w:left="120" w:right="851" w:hanging="10"/>
        <w:jc w:val="both"/>
        <w:rPr>
          <w:rFonts w:ascii="Arial" w:eastAsia="Arial" w:hAnsi="Arial" w:cs="Arial"/>
          <w:sz w:val="24"/>
          <w:lang w:val="en-GB"/>
        </w:rPr>
      </w:pPr>
      <w:r w:rsidRPr="00464AFF">
        <w:rPr>
          <w:rFonts w:ascii="Arial" w:eastAsia="Arial" w:hAnsi="Arial" w:cs="Arial"/>
          <w:sz w:val="24"/>
          <w:lang w:val="en-GB"/>
        </w:rPr>
        <w:t> </w:t>
      </w:r>
    </w:p>
    <w:p w14:paraId="60853C83" w14:textId="647D1BD2" w:rsidR="000D485B" w:rsidRPr="00464AFF" w:rsidRDefault="000D485B" w:rsidP="000D485B">
      <w:pPr>
        <w:pStyle w:val="Loendilik"/>
        <w:numPr>
          <w:ilvl w:val="1"/>
          <w:numId w:val="1"/>
        </w:numPr>
        <w:spacing w:after="0" w:line="265" w:lineRule="auto"/>
        <w:ind w:right="851"/>
        <w:jc w:val="both"/>
        <w:rPr>
          <w:rFonts w:ascii="Arial" w:eastAsia="Arial" w:hAnsi="Arial" w:cs="Arial"/>
          <w:sz w:val="24"/>
          <w:lang w:val="en-GB"/>
        </w:rPr>
      </w:pPr>
      <w:r w:rsidRPr="00464AFF">
        <w:rPr>
          <w:rFonts w:ascii="Arial" w:eastAsia="Arial" w:hAnsi="Arial" w:cs="Arial"/>
          <w:b/>
          <w:bCs/>
          <w:sz w:val="24"/>
          <w:lang w:val="en-GB"/>
        </w:rPr>
        <w:t>Hydrogen</w:t>
      </w:r>
      <w:r w:rsidRPr="00464AFF">
        <w:rPr>
          <w:rFonts w:ascii="Arial" w:eastAsia="Arial" w:hAnsi="Arial" w:cs="Arial"/>
          <w:sz w:val="24"/>
          <w:lang w:val="en-GB"/>
        </w:rPr>
        <w:t> </w:t>
      </w:r>
      <w:r w:rsidRPr="00464AFF">
        <w:rPr>
          <w:rFonts w:ascii="Arial" w:eastAsia="Arial" w:hAnsi="Arial" w:cs="Arial"/>
          <w:b/>
          <w:bCs/>
          <w:sz w:val="24"/>
          <w:lang w:val="en-GB"/>
        </w:rPr>
        <w:t>refuelling</w:t>
      </w:r>
      <w:r w:rsidRPr="00464AFF">
        <w:rPr>
          <w:rFonts w:ascii="Arial" w:eastAsia="Arial" w:hAnsi="Arial" w:cs="Arial"/>
          <w:sz w:val="24"/>
          <w:lang w:val="en-GB"/>
        </w:rPr>
        <w:t> </w:t>
      </w:r>
      <w:r w:rsidR="00BE3A3A" w:rsidRPr="00464AFF">
        <w:rPr>
          <w:rFonts w:ascii="Arial" w:eastAsia="Arial" w:hAnsi="Arial" w:cs="Arial"/>
          <w:sz w:val="24"/>
          <w:lang w:val="en-GB"/>
        </w:rPr>
        <w:t xml:space="preserve">– </w:t>
      </w:r>
      <w:r w:rsidRPr="00464AFF">
        <w:rPr>
          <w:rFonts w:ascii="Arial" w:eastAsia="Arial" w:hAnsi="Arial" w:cs="Arial"/>
          <w:sz w:val="24"/>
          <w:lang w:val="en-GB"/>
        </w:rPr>
        <w:t>the current targets are suitable and should be changed only if there is an actual deficit of refuelling indicated in some areas and</w:t>
      </w:r>
      <w:r w:rsidR="009E3BFA" w:rsidRPr="00464AFF">
        <w:rPr>
          <w:rFonts w:ascii="Arial" w:eastAsia="Arial" w:hAnsi="Arial" w:cs="Arial"/>
          <w:sz w:val="24"/>
          <w:lang w:val="en-GB"/>
        </w:rPr>
        <w:t xml:space="preserve"> in that case</w:t>
      </w:r>
      <w:r w:rsidRPr="00464AFF">
        <w:rPr>
          <w:rFonts w:ascii="Arial" w:eastAsia="Arial" w:hAnsi="Arial" w:cs="Arial"/>
          <w:sz w:val="24"/>
          <w:lang w:val="en-GB"/>
        </w:rPr>
        <w:t xml:space="preserve"> for those areas only. </w:t>
      </w:r>
    </w:p>
    <w:p w14:paraId="234AD21D" w14:textId="77777777" w:rsidR="000D485B" w:rsidRPr="00464AFF" w:rsidRDefault="000D485B" w:rsidP="000D485B">
      <w:pPr>
        <w:spacing w:after="0" w:line="265" w:lineRule="auto"/>
        <w:ind w:left="120" w:right="851" w:hanging="10"/>
        <w:jc w:val="both"/>
        <w:rPr>
          <w:rFonts w:ascii="Arial" w:eastAsia="Arial" w:hAnsi="Arial" w:cs="Arial"/>
          <w:sz w:val="24"/>
          <w:lang w:val="en-GB"/>
        </w:rPr>
      </w:pPr>
    </w:p>
    <w:p w14:paraId="31449FE8" w14:textId="36507296" w:rsidR="009E3BFA" w:rsidRPr="00464AFF" w:rsidRDefault="009E3BFA" w:rsidP="009E3BFA">
      <w:pPr>
        <w:pStyle w:val="Loendilik"/>
        <w:numPr>
          <w:ilvl w:val="0"/>
          <w:numId w:val="1"/>
        </w:numPr>
        <w:spacing w:after="0" w:line="265" w:lineRule="auto"/>
        <w:ind w:right="851"/>
        <w:jc w:val="both"/>
        <w:rPr>
          <w:b/>
          <w:bCs/>
          <w:sz w:val="28"/>
          <w:lang w:val="en-GB"/>
        </w:rPr>
      </w:pPr>
      <w:r w:rsidRPr="00464AFF">
        <w:rPr>
          <w:b/>
          <w:bCs/>
          <w:sz w:val="28"/>
          <w:lang w:val="en-GB"/>
        </w:rPr>
        <w:t>Target setting for alternative fuels infrastructure for vessels and aircraft</w:t>
      </w:r>
    </w:p>
    <w:p w14:paraId="1BE31F54" w14:textId="77777777" w:rsidR="000D485B" w:rsidRPr="00464AFF" w:rsidRDefault="000D485B" w:rsidP="000D485B">
      <w:pPr>
        <w:spacing w:after="0" w:line="265" w:lineRule="auto"/>
        <w:ind w:left="120" w:right="851" w:hanging="10"/>
        <w:jc w:val="both"/>
        <w:rPr>
          <w:rFonts w:ascii="Arial" w:eastAsia="Arial" w:hAnsi="Arial" w:cs="Arial"/>
          <w:sz w:val="24"/>
          <w:lang w:val="en-GB"/>
        </w:rPr>
      </w:pPr>
    </w:p>
    <w:p w14:paraId="1C6A85D0" w14:textId="77777777" w:rsidR="00BE3A3A" w:rsidRPr="00464AFF" w:rsidRDefault="000D485B" w:rsidP="00BE3A3A">
      <w:pPr>
        <w:pStyle w:val="Loendilik"/>
        <w:numPr>
          <w:ilvl w:val="1"/>
          <w:numId w:val="1"/>
        </w:numPr>
        <w:spacing w:after="0" w:line="265" w:lineRule="auto"/>
        <w:ind w:right="851"/>
        <w:jc w:val="both"/>
        <w:rPr>
          <w:rFonts w:ascii="Arial" w:eastAsia="Arial" w:hAnsi="Arial" w:cs="Arial"/>
          <w:sz w:val="24"/>
          <w:lang w:val="en-GB"/>
        </w:rPr>
      </w:pPr>
      <w:r w:rsidRPr="00464AFF">
        <w:rPr>
          <w:rFonts w:ascii="Arial" w:eastAsia="Arial" w:hAnsi="Arial" w:cs="Arial"/>
          <w:sz w:val="24"/>
          <w:lang w:val="en-GB"/>
        </w:rPr>
        <w:t xml:space="preserve">Imposing stricter requirements on Member States' </w:t>
      </w:r>
      <w:r w:rsidRPr="00464AFF">
        <w:rPr>
          <w:rFonts w:ascii="Arial" w:eastAsia="Arial" w:hAnsi="Arial" w:cs="Arial"/>
          <w:b/>
          <w:bCs/>
          <w:sz w:val="24"/>
          <w:lang w:val="en-GB"/>
        </w:rPr>
        <w:t>ports</w:t>
      </w:r>
      <w:r w:rsidRPr="00464AFF">
        <w:rPr>
          <w:rFonts w:ascii="Arial" w:eastAsia="Arial" w:hAnsi="Arial" w:cs="Arial"/>
          <w:sz w:val="24"/>
          <w:lang w:val="en-GB"/>
        </w:rPr>
        <w:t xml:space="preserve"> would not in itself lead to a faster transition of ships to alternative fuels. The development of infrastructure should primarily be based on actual market needs. The forced development of one of the components (supply of fuels) through administrative interventions will not make alternative fuels an attractive and cost-effective option for companies in the market. </w:t>
      </w:r>
    </w:p>
    <w:p w14:paraId="2E86A34D" w14:textId="77777777" w:rsidR="00BE3A3A" w:rsidRPr="00464AFF" w:rsidRDefault="00BE3A3A" w:rsidP="00BE3A3A">
      <w:pPr>
        <w:pStyle w:val="Loendilik"/>
        <w:spacing w:after="0" w:line="265" w:lineRule="auto"/>
        <w:ind w:left="470" w:right="851"/>
        <w:jc w:val="both"/>
        <w:rPr>
          <w:rFonts w:ascii="Arial" w:eastAsia="Arial" w:hAnsi="Arial" w:cs="Arial"/>
          <w:sz w:val="24"/>
          <w:lang w:val="en-GB"/>
        </w:rPr>
      </w:pPr>
    </w:p>
    <w:p w14:paraId="3C2EBA78" w14:textId="0F860824" w:rsidR="00BE3A3A" w:rsidRPr="00464AFF" w:rsidRDefault="000D485B" w:rsidP="00BE3A3A">
      <w:pPr>
        <w:pStyle w:val="Loendilik"/>
        <w:spacing w:after="0" w:line="265" w:lineRule="auto"/>
        <w:ind w:left="470" w:right="851"/>
        <w:jc w:val="both"/>
        <w:rPr>
          <w:rFonts w:ascii="Arial" w:eastAsia="Arial" w:hAnsi="Arial" w:cs="Arial"/>
          <w:sz w:val="24"/>
          <w:lang w:val="en-GB"/>
        </w:rPr>
      </w:pPr>
      <w:r w:rsidRPr="00464AFF">
        <w:rPr>
          <w:rFonts w:ascii="Arial" w:eastAsia="Arial" w:hAnsi="Arial" w:cs="Arial"/>
          <w:sz w:val="24"/>
          <w:lang w:val="en-GB"/>
        </w:rPr>
        <w:t xml:space="preserve">Any consideration on alternative fuels deployment </w:t>
      </w:r>
      <w:r w:rsidRPr="00464AFF">
        <w:rPr>
          <w:rFonts w:ascii="Arial" w:eastAsia="Arial" w:hAnsi="Arial" w:cs="Arial"/>
          <w:sz w:val="24"/>
          <w:szCs w:val="16"/>
          <w:lang w:val="en-GB"/>
        </w:rPr>
        <w:t xml:space="preserve">in </w:t>
      </w:r>
      <w:r w:rsidRPr="00464AFF">
        <w:rPr>
          <w:rFonts w:ascii="Arial" w:eastAsia="Arial" w:hAnsi="Arial" w:cs="Arial"/>
          <w:sz w:val="24"/>
          <w:lang w:val="en-GB"/>
        </w:rPr>
        <w:t xml:space="preserve">the Baltic Sea </w:t>
      </w:r>
      <w:proofErr w:type="gramStart"/>
      <w:r w:rsidRPr="00464AFF">
        <w:rPr>
          <w:rFonts w:ascii="Arial" w:eastAsia="Arial" w:hAnsi="Arial" w:cs="Arial"/>
          <w:sz w:val="24"/>
          <w:lang w:val="en-GB"/>
        </w:rPr>
        <w:t>has to</w:t>
      </w:r>
      <w:proofErr w:type="gramEnd"/>
      <w:r w:rsidRPr="00464AFF">
        <w:rPr>
          <w:rFonts w:ascii="Arial" w:eastAsia="Arial" w:hAnsi="Arial" w:cs="Arial"/>
          <w:sz w:val="24"/>
          <w:lang w:val="en-GB"/>
        </w:rPr>
        <w:t xml:space="preserve"> consider the cold climate, ice conditions and higher energy consumption </w:t>
      </w:r>
      <w:r w:rsidRPr="00464AFF">
        <w:rPr>
          <w:rFonts w:ascii="Arial" w:eastAsia="Arial" w:hAnsi="Arial" w:cs="Arial"/>
          <w:sz w:val="24"/>
          <w:lang w:val="en-GB"/>
        </w:rPr>
        <w:lastRenderedPageBreak/>
        <w:t xml:space="preserve">of ice-class ships which make the deployment of alternative fuels and infrastructure more costly than in Western European regions. Pipes, tanks and pumping systems require insulation and heating, which increases the cost of investments and operation costs. </w:t>
      </w:r>
      <w:proofErr w:type="gramStart"/>
      <w:r w:rsidR="00BE3A3A" w:rsidRPr="00464AFF">
        <w:rPr>
          <w:rFonts w:ascii="Arial" w:eastAsia="Arial" w:hAnsi="Arial" w:cs="Arial"/>
          <w:sz w:val="24"/>
          <w:lang w:val="en-GB"/>
        </w:rPr>
        <w:t>R</w:t>
      </w:r>
      <w:r w:rsidRPr="00464AFF">
        <w:rPr>
          <w:rFonts w:ascii="Arial" w:eastAsia="Arial" w:hAnsi="Arial" w:cs="Arial"/>
          <w:sz w:val="24"/>
          <w:lang w:val="en-GB"/>
        </w:rPr>
        <w:t>egional flexibility,</w:t>
      </w:r>
      <w:proofErr w:type="gramEnd"/>
      <w:r w:rsidRPr="00464AFF">
        <w:rPr>
          <w:rFonts w:ascii="Arial" w:eastAsia="Arial" w:hAnsi="Arial" w:cs="Arial"/>
          <w:sz w:val="24"/>
          <w:lang w:val="en-GB"/>
        </w:rPr>
        <w:t xml:space="preserve"> differentiated requirements for smaller ports and transitional periods that </w:t>
      </w:r>
      <w:proofErr w:type="gramStart"/>
      <w:r w:rsidRPr="00464AFF">
        <w:rPr>
          <w:rFonts w:ascii="Arial" w:eastAsia="Arial" w:hAnsi="Arial" w:cs="Arial"/>
          <w:sz w:val="24"/>
          <w:lang w:val="en-GB"/>
        </w:rPr>
        <w:t>take into account</w:t>
      </w:r>
      <w:proofErr w:type="gramEnd"/>
      <w:r w:rsidRPr="00464AFF">
        <w:rPr>
          <w:rFonts w:ascii="Arial" w:eastAsia="Arial" w:hAnsi="Arial" w:cs="Arial"/>
          <w:sz w:val="24"/>
          <w:lang w:val="en-GB"/>
        </w:rPr>
        <w:t xml:space="preserve"> the technical and climatic conditions of the Baltic Sea</w:t>
      </w:r>
      <w:r w:rsidR="00BE3A3A" w:rsidRPr="00464AFF">
        <w:rPr>
          <w:rFonts w:ascii="Arial" w:eastAsia="Arial" w:hAnsi="Arial" w:cs="Arial"/>
          <w:sz w:val="24"/>
          <w:lang w:val="en-GB"/>
        </w:rPr>
        <w:t xml:space="preserve"> are therefore important in any consideration</w:t>
      </w:r>
      <w:r w:rsidRPr="00464AFF">
        <w:rPr>
          <w:rFonts w:ascii="Arial" w:eastAsia="Arial" w:hAnsi="Arial" w:cs="Arial"/>
          <w:sz w:val="24"/>
          <w:lang w:val="en-GB"/>
        </w:rPr>
        <w:t>.</w:t>
      </w:r>
    </w:p>
    <w:p w14:paraId="0F1BFD0F" w14:textId="77777777" w:rsidR="00BE3A3A" w:rsidRPr="00464AFF" w:rsidRDefault="00BE3A3A" w:rsidP="00BE3A3A">
      <w:pPr>
        <w:pStyle w:val="Loendilik"/>
        <w:spacing w:after="0" w:line="265" w:lineRule="auto"/>
        <w:ind w:left="470" w:right="851"/>
        <w:jc w:val="both"/>
        <w:rPr>
          <w:rFonts w:ascii="Arial" w:eastAsia="Arial" w:hAnsi="Arial" w:cs="Arial"/>
          <w:sz w:val="24"/>
          <w:lang w:val="en-GB"/>
        </w:rPr>
      </w:pPr>
    </w:p>
    <w:p w14:paraId="52AF5A2D" w14:textId="46A88BDF" w:rsidR="000D485B" w:rsidRPr="00464AFF" w:rsidRDefault="2B0D2E34" w:rsidP="564DFC2D">
      <w:pPr>
        <w:pStyle w:val="Loendilik"/>
        <w:spacing w:after="0" w:line="265" w:lineRule="auto"/>
        <w:ind w:left="470" w:right="851"/>
        <w:jc w:val="both"/>
        <w:rPr>
          <w:rFonts w:ascii="Arial" w:eastAsia="Arial" w:hAnsi="Arial" w:cs="Arial"/>
          <w:sz w:val="24"/>
          <w:lang w:val="en-GB"/>
        </w:rPr>
      </w:pPr>
      <w:r w:rsidRPr="564DFC2D">
        <w:rPr>
          <w:rFonts w:ascii="Arial" w:eastAsia="Arial" w:hAnsi="Arial" w:cs="Arial"/>
          <w:sz w:val="24"/>
          <w:lang w:val="en-GB"/>
        </w:rPr>
        <w:t xml:space="preserve">For the successful implementation of OPS, a common </w:t>
      </w:r>
      <w:r w:rsidR="7C8156AD" w:rsidRPr="564DFC2D">
        <w:rPr>
          <w:rFonts w:ascii="Arial" w:eastAsia="Arial" w:hAnsi="Arial" w:cs="Arial"/>
          <w:sz w:val="24"/>
          <w:lang w:val="en-GB"/>
        </w:rPr>
        <w:t xml:space="preserve">EU </w:t>
      </w:r>
      <w:r w:rsidRPr="564DFC2D">
        <w:rPr>
          <w:rFonts w:ascii="Arial" w:eastAsia="Arial" w:hAnsi="Arial" w:cs="Arial"/>
          <w:sz w:val="24"/>
          <w:lang w:val="en-GB"/>
        </w:rPr>
        <w:t xml:space="preserve">technical standard for the connection of vessels to the power grid </w:t>
      </w:r>
      <w:r w:rsidR="7C8156AD" w:rsidRPr="564DFC2D">
        <w:rPr>
          <w:rFonts w:ascii="Arial" w:eastAsia="Arial" w:hAnsi="Arial" w:cs="Arial"/>
          <w:sz w:val="24"/>
          <w:lang w:val="en-GB"/>
        </w:rPr>
        <w:t>is necessary</w:t>
      </w:r>
      <w:r w:rsidRPr="564DFC2D">
        <w:rPr>
          <w:rFonts w:ascii="Arial" w:eastAsia="Arial" w:hAnsi="Arial" w:cs="Arial"/>
          <w:sz w:val="24"/>
          <w:lang w:val="en-GB"/>
        </w:rPr>
        <w:t>. Standardisation is particularly important for ships operating on non-scheduled routes, where ships change and ports need to be ready to serve ships with different technical solutions. A common standard will ensure interoperability, reduce investment risks and provide shipowners with certainty that their investments in ship-side systems are usable everywhere in the European Union.</w:t>
      </w:r>
    </w:p>
    <w:p w14:paraId="2C235EA5" w14:textId="77777777" w:rsidR="000D485B" w:rsidRPr="00464AFF" w:rsidRDefault="000D485B" w:rsidP="000D485B">
      <w:pPr>
        <w:spacing w:after="0" w:line="265" w:lineRule="auto"/>
        <w:ind w:left="120" w:right="851" w:hanging="10"/>
        <w:rPr>
          <w:rFonts w:ascii="Arial" w:eastAsia="Arial" w:hAnsi="Arial" w:cs="Arial"/>
          <w:sz w:val="24"/>
          <w:szCs w:val="16"/>
          <w:lang w:val="en-GB"/>
        </w:rPr>
      </w:pPr>
    </w:p>
    <w:p w14:paraId="423D4C56" w14:textId="58700476" w:rsidR="00BE3A3A" w:rsidRPr="00464AFF" w:rsidRDefault="2B0D2E34" w:rsidP="007A2651">
      <w:pPr>
        <w:pStyle w:val="Loendilik"/>
        <w:numPr>
          <w:ilvl w:val="1"/>
          <w:numId w:val="1"/>
        </w:numPr>
        <w:spacing w:after="0" w:line="265" w:lineRule="auto"/>
        <w:ind w:right="851"/>
        <w:jc w:val="both"/>
        <w:rPr>
          <w:rFonts w:ascii="Arial" w:eastAsia="Arial" w:hAnsi="Arial" w:cs="Arial"/>
          <w:sz w:val="24"/>
          <w:lang w:val="en-GB"/>
        </w:rPr>
      </w:pPr>
      <w:r w:rsidRPr="564DFC2D">
        <w:rPr>
          <w:rFonts w:ascii="Arial" w:eastAsia="Arial" w:hAnsi="Arial" w:cs="Arial"/>
          <w:sz w:val="24"/>
          <w:lang w:val="en-GB"/>
        </w:rPr>
        <w:t xml:space="preserve">The absence of deployment targets for electric charging and hydrogen refuelling infrastructure at </w:t>
      </w:r>
      <w:r w:rsidRPr="564DFC2D">
        <w:rPr>
          <w:rFonts w:ascii="Arial" w:eastAsia="Arial" w:hAnsi="Arial" w:cs="Arial"/>
          <w:b/>
          <w:bCs/>
          <w:sz w:val="24"/>
          <w:lang w:val="en-GB"/>
        </w:rPr>
        <w:t xml:space="preserve">airports </w:t>
      </w:r>
      <w:r w:rsidR="14ACCB3C" w:rsidRPr="564DFC2D">
        <w:rPr>
          <w:rFonts w:ascii="Arial" w:eastAsia="Arial" w:hAnsi="Arial" w:cs="Arial"/>
          <w:sz w:val="24"/>
          <w:lang w:val="en-GB"/>
        </w:rPr>
        <w:t>could c</w:t>
      </w:r>
      <w:r w:rsidRPr="564DFC2D">
        <w:rPr>
          <w:rFonts w:ascii="Arial" w:eastAsia="Arial" w:hAnsi="Arial" w:cs="Arial"/>
          <w:sz w:val="24"/>
          <w:lang w:val="en-GB"/>
        </w:rPr>
        <w:t>reate a risk of delayed uptake due to both an infrastructure gap and a “chicken-and-egg” problem: airports are unlikely to invest without clear demand, while aircraft manufacturers and operators hesitate to scale without available infrastructure. Moreover, the lack of regulatory direction may result in fragmented and non-standardised approaches, weakening market signals and slowing coordinated investment across the value chain.</w:t>
      </w:r>
    </w:p>
    <w:p w14:paraId="0FBF6BF8" w14:textId="77777777" w:rsidR="00BE3A3A" w:rsidRPr="00464AFF" w:rsidRDefault="00BE3A3A" w:rsidP="007A2651">
      <w:pPr>
        <w:spacing w:after="0" w:line="265" w:lineRule="auto"/>
        <w:ind w:right="851"/>
        <w:jc w:val="both"/>
        <w:rPr>
          <w:rFonts w:ascii="Arial" w:eastAsia="Arial" w:hAnsi="Arial" w:cs="Arial"/>
          <w:sz w:val="24"/>
          <w:szCs w:val="16"/>
          <w:lang w:val="en-GB"/>
        </w:rPr>
      </w:pPr>
    </w:p>
    <w:p w14:paraId="74637F0B" w14:textId="35A2398F" w:rsidR="00BE3A3A" w:rsidRPr="00464AFF" w:rsidRDefault="2B0D2E34" w:rsidP="00BE3A3A">
      <w:pPr>
        <w:pStyle w:val="Loendilik"/>
        <w:spacing w:after="0" w:line="265" w:lineRule="auto"/>
        <w:ind w:left="470" w:right="851"/>
        <w:jc w:val="both"/>
        <w:rPr>
          <w:rFonts w:ascii="Arial" w:eastAsia="Arial" w:hAnsi="Arial" w:cs="Arial"/>
          <w:sz w:val="24"/>
          <w:lang w:val="en-GB"/>
        </w:rPr>
      </w:pPr>
      <w:r w:rsidRPr="564DFC2D">
        <w:rPr>
          <w:rFonts w:ascii="Arial" w:eastAsia="Arial" w:hAnsi="Arial" w:cs="Arial"/>
          <w:sz w:val="24"/>
          <w:lang w:val="en-GB"/>
        </w:rPr>
        <w:t>However,</w:t>
      </w:r>
      <w:r w:rsidR="14ACCB3C" w:rsidRPr="564DFC2D">
        <w:rPr>
          <w:rFonts w:ascii="Arial" w:eastAsia="Arial" w:hAnsi="Arial" w:cs="Arial"/>
          <w:sz w:val="24"/>
          <w:lang w:val="en-GB"/>
        </w:rPr>
        <w:t xml:space="preserve"> g</w:t>
      </w:r>
      <w:r w:rsidRPr="564DFC2D">
        <w:rPr>
          <w:rFonts w:ascii="Arial" w:eastAsia="Arial" w:hAnsi="Arial" w:cs="Arial"/>
          <w:sz w:val="24"/>
          <w:lang w:val="en-GB"/>
        </w:rPr>
        <w:t>iven technological uncertainty, evolving standards and the absence of a clearly dominant technological pathway, imposing binding infrastructure requirements at this stage would not be proportionate and could lead to inefficient or misdirected investments, including the risk of locking in costly infrastructure that may later prove unsuitable and placing unnecessary financial burdens on airports and other stakeholders.</w:t>
      </w:r>
    </w:p>
    <w:p w14:paraId="34459757" w14:textId="77777777" w:rsidR="00BE3A3A" w:rsidRPr="00464AFF" w:rsidRDefault="00BE3A3A" w:rsidP="00BE3A3A">
      <w:pPr>
        <w:pStyle w:val="Loendilik"/>
        <w:spacing w:after="0" w:line="265" w:lineRule="auto"/>
        <w:ind w:left="470" w:right="851"/>
        <w:jc w:val="both"/>
        <w:rPr>
          <w:rFonts w:ascii="Arial" w:eastAsia="Arial" w:hAnsi="Arial" w:cs="Arial"/>
          <w:sz w:val="24"/>
          <w:szCs w:val="16"/>
          <w:lang w:val="en-GB"/>
        </w:rPr>
      </w:pPr>
    </w:p>
    <w:p w14:paraId="5ABA52B7" w14:textId="143C7C07" w:rsidR="00BE3A3A" w:rsidRPr="00464AFF" w:rsidRDefault="2B0D2E34" w:rsidP="00BE3A3A">
      <w:pPr>
        <w:pStyle w:val="Loendilik"/>
        <w:spacing w:after="0" w:line="265" w:lineRule="auto"/>
        <w:ind w:left="470" w:right="851"/>
        <w:jc w:val="both"/>
        <w:rPr>
          <w:rFonts w:ascii="Arial" w:eastAsia="Arial" w:hAnsi="Arial" w:cs="Arial"/>
          <w:sz w:val="24"/>
          <w:lang w:val="en-GB"/>
        </w:rPr>
      </w:pPr>
      <w:r w:rsidRPr="564DFC2D">
        <w:rPr>
          <w:rFonts w:ascii="Arial" w:eastAsia="Arial" w:hAnsi="Arial" w:cs="Arial"/>
          <w:sz w:val="24"/>
          <w:lang w:val="en-GB"/>
        </w:rPr>
        <w:t>A more proportionate approach would therefore focus on readiness measures, including ensuring sufficient grid capacity, integrating future energy needs into spatial planning, developing hydrogen-ready airport layouts and addressing relevant safety considerations. These measures could be complemented by targeted pilot projects at a limited number of major airports to test hydrogen refuelling and high-power electricity supply under real operating conditions. Such actions would support standardisation, reduce uncertainty and enable the gradual scale-up of infrastructure in line with technological progress and market developments.</w:t>
      </w:r>
    </w:p>
    <w:p w14:paraId="76C6165D" w14:textId="749A937D" w:rsidR="564DFC2D" w:rsidRDefault="564DFC2D" w:rsidP="564DFC2D">
      <w:pPr>
        <w:pStyle w:val="Loendilik"/>
        <w:spacing w:after="0" w:line="265" w:lineRule="auto"/>
        <w:ind w:left="470" w:right="851"/>
        <w:jc w:val="both"/>
        <w:rPr>
          <w:rFonts w:ascii="Arial" w:eastAsia="Arial" w:hAnsi="Arial" w:cs="Arial"/>
          <w:sz w:val="24"/>
          <w:lang w:val="en-GB"/>
        </w:rPr>
      </w:pPr>
    </w:p>
    <w:p w14:paraId="236D926F" w14:textId="77777777" w:rsidR="00BC5DD7" w:rsidRPr="00464AFF" w:rsidRDefault="00BC5DD7" w:rsidP="00BC5DD7">
      <w:pPr>
        <w:rPr>
          <w:lang w:val="en-GB"/>
        </w:rPr>
      </w:pPr>
    </w:p>
    <w:sectPr w:rsidR="00BC5DD7" w:rsidRPr="00464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7E1"/>
    <w:multiLevelType w:val="multilevel"/>
    <w:tmpl w:val="32647E08"/>
    <w:lvl w:ilvl="0">
      <w:start w:val="1"/>
      <w:numFmt w:val="decimal"/>
      <w:lvlText w:val="%1."/>
      <w:lvlJc w:val="left"/>
      <w:pPr>
        <w:ind w:left="360" w:hanging="360"/>
      </w:pPr>
      <w:rPr>
        <w:rFonts w:hint="default"/>
        <w:b/>
      </w:rPr>
    </w:lvl>
    <w:lvl w:ilvl="1">
      <w:start w:val="1"/>
      <w:numFmt w:val="decimal"/>
      <w:lvlText w:val="%1.%2."/>
      <w:lvlJc w:val="left"/>
      <w:pPr>
        <w:ind w:left="470" w:hanging="360"/>
      </w:pPr>
      <w:rPr>
        <w:rFonts w:hint="default"/>
        <w:b/>
      </w:rPr>
    </w:lvl>
    <w:lvl w:ilvl="2">
      <w:start w:val="1"/>
      <w:numFmt w:val="decimal"/>
      <w:lvlText w:val="%1.%2.%3."/>
      <w:lvlJc w:val="left"/>
      <w:pPr>
        <w:ind w:left="940" w:hanging="720"/>
      </w:pPr>
      <w:rPr>
        <w:rFonts w:hint="default"/>
        <w:b/>
      </w:rPr>
    </w:lvl>
    <w:lvl w:ilvl="3">
      <w:start w:val="1"/>
      <w:numFmt w:val="decimal"/>
      <w:lvlText w:val="%1.%2.%3.%4."/>
      <w:lvlJc w:val="left"/>
      <w:pPr>
        <w:ind w:left="1050" w:hanging="720"/>
      </w:pPr>
      <w:rPr>
        <w:rFonts w:hint="default"/>
        <w:b/>
      </w:rPr>
    </w:lvl>
    <w:lvl w:ilvl="4">
      <w:start w:val="1"/>
      <w:numFmt w:val="decimal"/>
      <w:lvlText w:val="%1.%2.%3.%4.%5."/>
      <w:lvlJc w:val="left"/>
      <w:pPr>
        <w:ind w:left="1520" w:hanging="1080"/>
      </w:pPr>
      <w:rPr>
        <w:rFonts w:hint="default"/>
        <w:b/>
      </w:rPr>
    </w:lvl>
    <w:lvl w:ilvl="5">
      <w:start w:val="1"/>
      <w:numFmt w:val="decimal"/>
      <w:lvlText w:val="%1.%2.%3.%4.%5.%6."/>
      <w:lvlJc w:val="left"/>
      <w:pPr>
        <w:ind w:left="1630" w:hanging="1080"/>
      </w:pPr>
      <w:rPr>
        <w:rFonts w:hint="default"/>
        <w:b/>
      </w:rPr>
    </w:lvl>
    <w:lvl w:ilvl="6">
      <w:start w:val="1"/>
      <w:numFmt w:val="decimal"/>
      <w:lvlText w:val="%1.%2.%3.%4.%5.%6.%7."/>
      <w:lvlJc w:val="left"/>
      <w:pPr>
        <w:ind w:left="2100" w:hanging="1440"/>
      </w:pPr>
      <w:rPr>
        <w:rFonts w:hint="default"/>
        <w:b/>
      </w:rPr>
    </w:lvl>
    <w:lvl w:ilvl="7">
      <w:start w:val="1"/>
      <w:numFmt w:val="decimal"/>
      <w:lvlText w:val="%1.%2.%3.%4.%5.%6.%7.%8."/>
      <w:lvlJc w:val="left"/>
      <w:pPr>
        <w:ind w:left="2210" w:hanging="1440"/>
      </w:pPr>
      <w:rPr>
        <w:rFonts w:hint="default"/>
        <w:b/>
      </w:rPr>
    </w:lvl>
    <w:lvl w:ilvl="8">
      <w:start w:val="1"/>
      <w:numFmt w:val="decimal"/>
      <w:lvlText w:val="%1.%2.%3.%4.%5.%6.%7.%8.%9."/>
      <w:lvlJc w:val="left"/>
      <w:pPr>
        <w:ind w:left="2680" w:hanging="1800"/>
      </w:pPr>
      <w:rPr>
        <w:rFonts w:hint="default"/>
        <w:b/>
      </w:rPr>
    </w:lvl>
  </w:abstractNum>
  <w:abstractNum w:abstractNumId="1" w15:restartNumberingAfterBreak="0">
    <w:nsid w:val="165B56BA"/>
    <w:multiLevelType w:val="hybridMultilevel"/>
    <w:tmpl w:val="C16619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2B94863"/>
    <w:multiLevelType w:val="hybridMultilevel"/>
    <w:tmpl w:val="D5FCD916"/>
    <w:lvl w:ilvl="0" w:tplc="AE9E53E8">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438E6EE1"/>
    <w:multiLevelType w:val="multilevel"/>
    <w:tmpl w:val="391EC1A8"/>
    <w:lvl w:ilvl="0">
      <w:start w:val="1"/>
      <w:numFmt w:val="decimal"/>
      <w:lvlText w:val="%1."/>
      <w:lvlJc w:val="left"/>
      <w:pPr>
        <w:ind w:left="470" w:hanging="360"/>
      </w:pPr>
      <w:rPr>
        <w:rFonts w:hint="default"/>
      </w:rPr>
    </w:lvl>
    <w:lvl w:ilvl="1">
      <w:start w:val="1"/>
      <w:numFmt w:val="decimal"/>
      <w:isLgl/>
      <w:lvlText w:val="%1.%2."/>
      <w:lvlJc w:val="left"/>
      <w:pPr>
        <w:ind w:left="470" w:hanging="360"/>
      </w:pPr>
      <w:rPr>
        <w:rFonts w:hint="default"/>
        <w:b/>
      </w:rPr>
    </w:lvl>
    <w:lvl w:ilvl="2">
      <w:start w:val="1"/>
      <w:numFmt w:val="decimal"/>
      <w:isLgl/>
      <w:lvlText w:val="%1.%2.%3."/>
      <w:lvlJc w:val="left"/>
      <w:pPr>
        <w:ind w:left="830" w:hanging="720"/>
      </w:pPr>
      <w:rPr>
        <w:rFonts w:hint="default"/>
        <w:b/>
      </w:rPr>
    </w:lvl>
    <w:lvl w:ilvl="3">
      <w:start w:val="1"/>
      <w:numFmt w:val="decimal"/>
      <w:isLgl/>
      <w:lvlText w:val="%1.%2.%3.%4."/>
      <w:lvlJc w:val="left"/>
      <w:pPr>
        <w:ind w:left="830" w:hanging="720"/>
      </w:pPr>
      <w:rPr>
        <w:rFonts w:hint="default"/>
        <w:b/>
      </w:rPr>
    </w:lvl>
    <w:lvl w:ilvl="4">
      <w:start w:val="1"/>
      <w:numFmt w:val="decimal"/>
      <w:isLgl/>
      <w:lvlText w:val="%1.%2.%3.%4.%5."/>
      <w:lvlJc w:val="left"/>
      <w:pPr>
        <w:ind w:left="1190" w:hanging="1080"/>
      </w:pPr>
      <w:rPr>
        <w:rFonts w:hint="default"/>
        <w:b/>
      </w:rPr>
    </w:lvl>
    <w:lvl w:ilvl="5">
      <w:start w:val="1"/>
      <w:numFmt w:val="decimal"/>
      <w:isLgl/>
      <w:lvlText w:val="%1.%2.%3.%4.%5.%6."/>
      <w:lvlJc w:val="left"/>
      <w:pPr>
        <w:ind w:left="1190" w:hanging="1080"/>
      </w:pPr>
      <w:rPr>
        <w:rFonts w:hint="default"/>
        <w:b/>
      </w:rPr>
    </w:lvl>
    <w:lvl w:ilvl="6">
      <w:start w:val="1"/>
      <w:numFmt w:val="decimal"/>
      <w:isLgl/>
      <w:lvlText w:val="%1.%2.%3.%4.%5.%6.%7."/>
      <w:lvlJc w:val="left"/>
      <w:pPr>
        <w:ind w:left="1550" w:hanging="1440"/>
      </w:pPr>
      <w:rPr>
        <w:rFonts w:hint="default"/>
        <w:b/>
      </w:rPr>
    </w:lvl>
    <w:lvl w:ilvl="7">
      <w:start w:val="1"/>
      <w:numFmt w:val="decimal"/>
      <w:isLgl/>
      <w:lvlText w:val="%1.%2.%3.%4.%5.%6.%7.%8."/>
      <w:lvlJc w:val="left"/>
      <w:pPr>
        <w:ind w:left="1550" w:hanging="1440"/>
      </w:pPr>
      <w:rPr>
        <w:rFonts w:hint="default"/>
        <w:b/>
      </w:rPr>
    </w:lvl>
    <w:lvl w:ilvl="8">
      <w:start w:val="1"/>
      <w:numFmt w:val="decimal"/>
      <w:isLgl/>
      <w:lvlText w:val="%1.%2.%3.%4.%5.%6.%7.%8.%9."/>
      <w:lvlJc w:val="left"/>
      <w:pPr>
        <w:ind w:left="1910" w:hanging="1800"/>
      </w:pPr>
      <w:rPr>
        <w:rFonts w:hint="default"/>
        <w:b/>
      </w:rPr>
    </w:lvl>
  </w:abstractNum>
  <w:num w:numId="1" w16cid:durableId="2108695138">
    <w:abstractNumId w:val="3"/>
  </w:num>
  <w:num w:numId="2" w16cid:durableId="1053190249">
    <w:abstractNumId w:val="0"/>
  </w:num>
  <w:num w:numId="3" w16cid:durableId="631712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978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5B"/>
    <w:rsid w:val="00093BA3"/>
    <w:rsid w:val="000D485B"/>
    <w:rsid w:val="00246DC3"/>
    <w:rsid w:val="002A093B"/>
    <w:rsid w:val="00401F21"/>
    <w:rsid w:val="00464AFF"/>
    <w:rsid w:val="005B3D6A"/>
    <w:rsid w:val="006165F4"/>
    <w:rsid w:val="00785C8F"/>
    <w:rsid w:val="007A2651"/>
    <w:rsid w:val="00934FD1"/>
    <w:rsid w:val="009E3BFA"/>
    <w:rsid w:val="00AA6539"/>
    <w:rsid w:val="00BC5DD7"/>
    <w:rsid w:val="00BE3A3A"/>
    <w:rsid w:val="00BE4CA4"/>
    <w:rsid w:val="00C4114E"/>
    <w:rsid w:val="00D66ADB"/>
    <w:rsid w:val="00DC6C80"/>
    <w:rsid w:val="00F5479F"/>
    <w:rsid w:val="03128BDD"/>
    <w:rsid w:val="04B93083"/>
    <w:rsid w:val="06CBEA58"/>
    <w:rsid w:val="08BCE90A"/>
    <w:rsid w:val="10F6E8D5"/>
    <w:rsid w:val="14ACCB3C"/>
    <w:rsid w:val="1537EB77"/>
    <w:rsid w:val="16A36696"/>
    <w:rsid w:val="18386637"/>
    <w:rsid w:val="1BB87679"/>
    <w:rsid w:val="1C3610DA"/>
    <w:rsid w:val="1CC199F2"/>
    <w:rsid w:val="1DB747D2"/>
    <w:rsid w:val="1EE15635"/>
    <w:rsid w:val="1FF038E3"/>
    <w:rsid w:val="2B0D2E34"/>
    <w:rsid w:val="2B6152F5"/>
    <w:rsid w:val="2CD4D42B"/>
    <w:rsid w:val="2CF74B86"/>
    <w:rsid w:val="2D2CAB1B"/>
    <w:rsid w:val="31073C32"/>
    <w:rsid w:val="36336BDD"/>
    <w:rsid w:val="37ED8B5A"/>
    <w:rsid w:val="38E0C562"/>
    <w:rsid w:val="3CE514FE"/>
    <w:rsid w:val="3D5A7F8C"/>
    <w:rsid w:val="410A2DEF"/>
    <w:rsid w:val="41EE8C87"/>
    <w:rsid w:val="438C53C5"/>
    <w:rsid w:val="4413B1FC"/>
    <w:rsid w:val="443E027F"/>
    <w:rsid w:val="444717BF"/>
    <w:rsid w:val="46B5A2C6"/>
    <w:rsid w:val="492EEC76"/>
    <w:rsid w:val="4A797B76"/>
    <w:rsid w:val="4A9D67AF"/>
    <w:rsid w:val="4AEF4516"/>
    <w:rsid w:val="4D59D3E1"/>
    <w:rsid w:val="4E258ECA"/>
    <w:rsid w:val="4EC2ACB7"/>
    <w:rsid w:val="4FEEAA47"/>
    <w:rsid w:val="512BE0C6"/>
    <w:rsid w:val="55F1A83E"/>
    <w:rsid w:val="564DFC2D"/>
    <w:rsid w:val="56FD3C40"/>
    <w:rsid w:val="5AD25E91"/>
    <w:rsid w:val="5D299E1F"/>
    <w:rsid w:val="5D2FB49C"/>
    <w:rsid w:val="5D4D8894"/>
    <w:rsid w:val="5D5A3705"/>
    <w:rsid w:val="5D7F081E"/>
    <w:rsid w:val="601C01C6"/>
    <w:rsid w:val="6199389A"/>
    <w:rsid w:val="65A91C7F"/>
    <w:rsid w:val="66E63E7B"/>
    <w:rsid w:val="66F38D87"/>
    <w:rsid w:val="67380B1B"/>
    <w:rsid w:val="688331E3"/>
    <w:rsid w:val="69670CC8"/>
    <w:rsid w:val="6C081097"/>
    <w:rsid w:val="6D8BE8A7"/>
    <w:rsid w:val="6DB8E23D"/>
    <w:rsid w:val="6E1AFBE2"/>
    <w:rsid w:val="73B1A6B5"/>
    <w:rsid w:val="7793B2D8"/>
    <w:rsid w:val="77C65955"/>
    <w:rsid w:val="7BE1ACC1"/>
    <w:rsid w:val="7C8156AD"/>
    <w:rsid w:val="7C907F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90A"/>
  <w15:chartTrackingRefBased/>
  <w15:docId w15:val="{C922D130-3023-4B4F-8D60-A4236E56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D485B"/>
    <w:pPr>
      <w:spacing w:line="259" w:lineRule="auto"/>
    </w:pPr>
    <w:rPr>
      <w:rFonts w:ascii="Calibri" w:eastAsia="Calibri" w:hAnsi="Calibri" w:cs="Calibri"/>
      <w:color w:val="000000"/>
      <w:sz w:val="22"/>
      <w:lang w:eastAsia="et-EE"/>
    </w:rPr>
  </w:style>
  <w:style w:type="paragraph" w:styleId="Pealkiri1">
    <w:name w:val="heading 1"/>
    <w:basedOn w:val="Normaallaad"/>
    <w:next w:val="Normaallaad"/>
    <w:link w:val="Pealkiri1Mrk"/>
    <w:uiPriority w:val="9"/>
    <w:qFormat/>
    <w:rsid w:val="000D4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D4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D485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D485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D485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D485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D485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D485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D485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D485B"/>
    <w:rPr>
      <w:rFonts w:asciiTheme="majorHAnsi" w:eastAsiaTheme="majorEastAsia" w:hAnsiTheme="majorHAnsi" w:cstheme="majorBidi"/>
      <w:color w:val="0F4761" w:themeColor="accent1" w:themeShade="BF"/>
      <w:sz w:val="40"/>
      <w:szCs w:val="40"/>
      <w:lang w:val="en-GB"/>
    </w:rPr>
  </w:style>
  <w:style w:type="character" w:customStyle="1" w:styleId="Pealkiri2Mrk">
    <w:name w:val="Pealkiri 2 Märk"/>
    <w:basedOn w:val="Liguvaikefont"/>
    <w:link w:val="Pealkiri2"/>
    <w:uiPriority w:val="9"/>
    <w:semiHidden/>
    <w:rsid w:val="000D485B"/>
    <w:rPr>
      <w:rFonts w:asciiTheme="majorHAnsi" w:eastAsiaTheme="majorEastAsia" w:hAnsiTheme="majorHAnsi" w:cstheme="majorBidi"/>
      <w:color w:val="0F4761" w:themeColor="accent1" w:themeShade="BF"/>
      <w:sz w:val="32"/>
      <w:szCs w:val="32"/>
      <w:lang w:val="en-GB"/>
    </w:rPr>
  </w:style>
  <w:style w:type="character" w:customStyle="1" w:styleId="Pealkiri3Mrk">
    <w:name w:val="Pealkiri 3 Märk"/>
    <w:basedOn w:val="Liguvaikefont"/>
    <w:link w:val="Pealkiri3"/>
    <w:uiPriority w:val="9"/>
    <w:semiHidden/>
    <w:rsid w:val="000D485B"/>
    <w:rPr>
      <w:rFonts w:eastAsiaTheme="majorEastAsia" w:cstheme="majorBidi"/>
      <w:color w:val="0F4761" w:themeColor="accent1" w:themeShade="BF"/>
      <w:sz w:val="28"/>
      <w:szCs w:val="28"/>
      <w:lang w:val="en-GB"/>
    </w:rPr>
  </w:style>
  <w:style w:type="character" w:customStyle="1" w:styleId="Pealkiri4Mrk">
    <w:name w:val="Pealkiri 4 Märk"/>
    <w:basedOn w:val="Liguvaikefont"/>
    <w:link w:val="Pealkiri4"/>
    <w:uiPriority w:val="9"/>
    <w:semiHidden/>
    <w:rsid w:val="000D485B"/>
    <w:rPr>
      <w:rFonts w:eastAsiaTheme="majorEastAsia" w:cstheme="majorBidi"/>
      <w:i/>
      <w:iCs/>
      <w:color w:val="0F4761" w:themeColor="accent1" w:themeShade="BF"/>
      <w:lang w:val="en-GB"/>
    </w:rPr>
  </w:style>
  <w:style w:type="character" w:customStyle="1" w:styleId="Pealkiri5Mrk">
    <w:name w:val="Pealkiri 5 Märk"/>
    <w:basedOn w:val="Liguvaikefont"/>
    <w:link w:val="Pealkiri5"/>
    <w:uiPriority w:val="9"/>
    <w:semiHidden/>
    <w:rsid w:val="000D485B"/>
    <w:rPr>
      <w:rFonts w:eastAsiaTheme="majorEastAsia" w:cstheme="majorBidi"/>
      <w:color w:val="0F4761" w:themeColor="accent1" w:themeShade="BF"/>
      <w:lang w:val="en-GB"/>
    </w:rPr>
  </w:style>
  <w:style w:type="character" w:customStyle="1" w:styleId="Pealkiri6Mrk">
    <w:name w:val="Pealkiri 6 Märk"/>
    <w:basedOn w:val="Liguvaikefont"/>
    <w:link w:val="Pealkiri6"/>
    <w:uiPriority w:val="9"/>
    <w:semiHidden/>
    <w:rsid w:val="000D485B"/>
    <w:rPr>
      <w:rFonts w:eastAsiaTheme="majorEastAsia" w:cstheme="majorBidi"/>
      <w:i/>
      <w:iCs/>
      <w:color w:val="595959" w:themeColor="text1" w:themeTint="A6"/>
      <w:lang w:val="en-GB"/>
    </w:rPr>
  </w:style>
  <w:style w:type="character" w:customStyle="1" w:styleId="Pealkiri7Mrk">
    <w:name w:val="Pealkiri 7 Märk"/>
    <w:basedOn w:val="Liguvaikefont"/>
    <w:link w:val="Pealkiri7"/>
    <w:uiPriority w:val="9"/>
    <w:semiHidden/>
    <w:rsid w:val="000D485B"/>
    <w:rPr>
      <w:rFonts w:eastAsiaTheme="majorEastAsia" w:cstheme="majorBidi"/>
      <w:color w:val="595959" w:themeColor="text1" w:themeTint="A6"/>
      <w:lang w:val="en-GB"/>
    </w:rPr>
  </w:style>
  <w:style w:type="character" w:customStyle="1" w:styleId="Pealkiri8Mrk">
    <w:name w:val="Pealkiri 8 Märk"/>
    <w:basedOn w:val="Liguvaikefont"/>
    <w:link w:val="Pealkiri8"/>
    <w:uiPriority w:val="9"/>
    <w:semiHidden/>
    <w:rsid w:val="000D485B"/>
    <w:rPr>
      <w:rFonts w:eastAsiaTheme="majorEastAsia" w:cstheme="majorBidi"/>
      <w:i/>
      <w:iCs/>
      <w:color w:val="272727" w:themeColor="text1" w:themeTint="D8"/>
      <w:lang w:val="en-GB"/>
    </w:rPr>
  </w:style>
  <w:style w:type="character" w:customStyle="1" w:styleId="Pealkiri9Mrk">
    <w:name w:val="Pealkiri 9 Märk"/>
    <w:basedOn w:val="Liguvaikefont"/>
    <w:link w:val="Pealkiri9"/>
    <w:uiPriority w:val="9"/>
    <w:semiHidden/>
    <w:rsid w:val="000D485B"/>
    <w:rPr>
      <w:rFonts w:eastAsiaTheme="majorEastAsia" w:cstheme="majorBidi"/>
      <w:color w:val="272727" w:themeColor="text1" w:themeTint="D8"/>
      <w:lang w:val="en-GB"/>
    </w:rPr>
  </w:style>
  <w:style w:type="paragraph" w:styleId="Pealkiri">
    <w:name w:val="Title"/>
    <w:basedOn w:val="Normaallaad"/>
    <w:next w:val="Normaallaad"/>
    <w:link w:val="PealkiriMrk"/>
    <w:uiPriority w:val="10"/>
    <w:qFormat/>
    <w:rsid w:val="000D4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D485B"/>
    <w:rPr>
      <w:rFonts w:asciiTheme="majorHAnsi" w:eastAsiaTheme="majorEastAsia" w:hAnsiTheme="majorHAnsi" w:cstheme="majorBidi"/>
      <w:spacing w:val="-10"/>
      <w:kern w:val="28"/>
      <w:sz w:val="56"/>
      <w:szCs w:val="56"/>
      <w:lang w:val="en-GB"/>
    </w:rPr>
  </w:style>
  <w:style w:type="paragraph" w:styleId="Alapealkiri">
    <w:name w:val="Subtitle"/>
    <w:basedOn w:val="Normaallaad"/>
    <w:next w:val="Normaallaad"/>
    <w:link w:val="AlapealkiriMrk"/>
    <w:uiPriority w:val="11"/>
    <w:qFormat/>
    <w:rsid w:val="000D485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D485B"/>
    <w:rPr>
      <w:rFonts w:eastAsiaTheme="majorEastAsia" w:cstheme="majorBidi"/>
      <w:color w:val="595959" w:themeColor="text1" w:themeTint="A6"/>
      <w:spacing w:val="15"/>
      <w:sz w:val="28"/>
      <w:szCs w:val="28"/>
      <w:lang w:val="en-GB"/>
    </w:rPr>
  </w:style>
  <w:style w:type="paragraph" w:styleId="Tsitaat">
    <w:name w:val="Quote"/>
    <w:basedOn w:val="Normaallaad"/>
    <w:next w:val="Normaallaad"/>
    <w:link w:val="TsitaatMrk"/>
    <w:uiPriority w:val="29"/>
    <w:qFormat/>
    <w:rsid w:val="000D485B"/>
    <w:pPr>
      <w:spacing w:before="160"/>
      <w:jc w:val="center"/>
    </w:pPr>
    <w:rPr>
      <w:i/>
      <w:iCs/>
      <w:color w:val="404040" w:themeColor="text1" w:themeTint="BF"/>
    </w:rPr>
  </w:style>
  <w:style w:type="character" w:customStyle="1" w:styleId="TsitaatMrk">
    <w:name w:val="Tsitaat Märk"/>
    <w:basedOn w:val="Liguvaikefont"/>
    <w:link w:val="Tsitaat"/>
    <w:uiPriority w:val="29"/>
    <w:rsid w:val="000D485B"/>
    <w:rPr>
      <w:i/>
      <w:iCs/>
      <w:color w:val="404040" w:themeColor="text1" w:themeTint="BF"/>
      <w:lang w:val="en-GB"/>
    </w:rPr>
  </w:style>
  <w:style w:type="paragraph" w:styleId="Loendilik">
    <w:name w:val="List Paragraph"/>
    <w:basedOn w:val="Normaallaad"/>
    <w:uiPriority w:val="34"/>
    <w:qFormat/>
    <w:rsid w:val="000D485B"/>
    <w:pPr>
      <w:ind w:left="720"/>
      <w:contextualSpacing/>
    </w:pPr>
  </w:style>
  <w:style w:type="character" w:styleId="Selgeltmrgatavrhutus">
    <w:name w:val="Intense Emphasis"/>
    <w:basedOn w:val="Liguvaikefont"/>
    <w:uiPriority w:val="21"/>
    <w:qFormat/>
    <w:rsid w:val="000D485B"/>
    <w:rPr>
      <w:i/>
      <w:iCs/>
      <w:color w:val="0F4761" w:themeColor="accent1" w:themeShade="BF"/>
    </w:rPr>
  </w:style>
  <w:style w:type="paragraph" w:styleId="Selgeltmrgatavtsitaat">
    <w:name w:val="Intense Quote"/>
    <w:basedOn w:val="Normaallaad"/>
    <w:next w:val="Normaallaad"/>
    <w:link w:val="SelgeltmrgatavtsitaatMrk"/>
    <w:uiPriority w:val="30"/>
    <w:qFormat/>
    <w:rsid w:val="000D4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D485B"/>
    <w:rPr>
      <w:i/>
      <w:iCs/>
      <w:color w:val="0F4761" w:themeColor="accent1" w:themeShade="BF"/>
      <w:lang w:val="en-GB"/>
    </w:rPr>
  </w:style>
  <w:style w:type="character" w:styleId="Selgeltmrgatavviide">
    <w:name w:val="Intense Reference"/>
    <w:basedOn w:val="Liguvaikefont"/>
    <w:uiPriority w:val="32"/>
    <w:qFormat/>
    <w:rsid w:val="000D48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f8bbdf-da61-467d-8eb6-18e02240c766">
      <Terms xmlns="http://schemas.microsoft.com/office/infopath/2007/PartnerControls"/>
    </lcf76f155ced4ddcb4097134ff3c332f>
    <TaxCatchAll xmlns="e3bcf2e9-a9e4-416b-92d1-0b5ef381e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F7C4249F5FA43B5EEE6CACCBD249F" ma:contentTypeVersion="12" ma:contentTypeDescription="Create a new document." ma:contentTypeScope="" ma:versionID="c85c7ff20db9dc978c0dce65a268af0e">
  <xsd:schema xmlns:xsd="http://www.w3.org/2001/XMLSchema" xmlns:xs="http://www.w3.org/2001/XMLSchema" xmlns:p="http://schemas.microsoft.com/office/2006/metadata/properties" xmlns:ns2="46f8bbdf-da61-467d-8eb6-18e02240c766" xmlns:ns3="e3bcf2e9-a9e4-416b-92d1-0b5ef381ef67" targetNamespace="http://schemas.microsoft.com/office/2006/metadata/properties" ma:root="true" ma:fieldsID="ae773e669c589df7b4e52a63320f2481" ns2:_="" ns3:_="">
    <xsd:import namespace="46f8bbdf-da61-467d-8eb6-18e02240c766"/>
    <xsd:import namespace="e3bcf2e9-a9e4-416b-92d1-0b5ef381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8bbdf-da61-467d-8eb6-18e02240c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cf2e9-a9e4-416b-92d1-0b5ef381ef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3ce989-998b-4634-8b42-310180135713}" ma:internalName="TaxCatchAll" ma:showField="CatchAllData" ma:web="e3bcf2e9-a9e4-416b-92d1-0b5ef381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3D552-8718-4E99-87D4-C8E792D6FE90}">
  <ds:schemaRefs>
    <ds:schemaRef ds:uri="http://schemas.microsoft.com/office/2006/metadata/properties"/>
    <ds:schemaRef ds:uri="http://schemas.microsoft.com/office/infopath/2007/PartnerControls"/>
    <ds:schemaRef ds:uri="46f8bbdf-da61-467d-8eb6-18e02240c766"/>
    <ds:schemaRef ds:uri="e3bcf2e9-a9e4-416b-92d1-0b5ef381ef67"/>
  </ds:schemaRefs>
</ds:datastoreItem>
</file>

<file path=customXml/itemProps2.xml><?xml version="1.0" encoding="utf-8"?>
<ds:datastoreItem xmlns:ds="http://schemas.openxmlformats.org/officeDocument/2006/customXml" ds:itemID="{A5878D83-DB89-4B1B-B6DB-36032AF5A750}">
  <ds:schemaRefs>
    <ds:schemaRef ds:uri="http://schemas.microsoft.com/sharepoint/v3/contenttype/forms"/>
  </ds:schemaRefs>
</ds:datastoreItem>
</file>

<file path=customXml/itemProps3.xml><?xml version="1.0" encoding="utf-8"?>
<ds:datastoreItem xmlns:ds="http://schemas.openxmlformats.org/officeDocument/2006/customXml" ds:itemID="{AD9B1CC7-96DC-4DD9-B1F6-8AF72BE90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8bbdf-da61-467d-8eb6-18e02240c766"/>
    <ds:schemaRef ds:uri="e3bcf2e9-a9e4-416b-92d1-0b5ef381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6755</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 Ross - KLIM</dc:creator>
  <cp:keywords/>
  <dc:description/>
  <cp:lastModifiedBy>Viktoria Sitnik - KLIM</cp:lastModifiedBy>
  <cp:revision>2</cp:revision>
  <dcterms:created xsi:type="dcterms:W3CDTF">2026-07-02T07:10:00Z</dcterms:created>
  <dcterms:modified xsi:type="dcterms:W3CDTF">2026-07-02T07:10:00Z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0x01010023AF7C4249F5FA43B5EEE6CACCBD249F</vt:lpwstr>
  </property>
  <property fmtid="{D5CDD505-2E9C-101B-9397-08002B2CF9AE}" pid="3" name="MSIP_Label_defa4170-0d19-0005-0004-bc88714345d2_Enabled">
    <vt:lpwstr>true</vt:lpwstr>
  </property>
  <property fmtid="{D5CDD505-2E9C-101B-9397-08002B2CF9AE}" pid="4" name="MSIP_Label_defa4170-0d19-0005-0004-bc88714345d2_SetDate">
    <vt:lpwstr>2026-06-28T13:26:04Z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a194431a-cbe7-42a0-aab1-0aa68e118184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